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809" w:rsidRDefault="003C5288" w:rsidP="00B01A40">
      <w:pPr>
        <w:ind w:right="-720"/>
        <w:jc w:val="both"/>
      </w:pPr>
      <w:r>
        <w:tab/>
      </w:r>
      <w:r>
        <w:tab/>
      </w:r>
      <w:r>
        <w:tab/>
      </w:r>
      <w:r>
        <w:tab/>
      </w:r>
      <w:r>
        <w:tab/>
      </w:r>
      <w:r>
        <w:tab/>
      </w:r>
      <w:r>
        <w:tab/>
      </w:r>
      <w:r>
        <w:tab/>
      </w:r>
      <w:r>
        <w:tab/>
      </w:r>
    </w:p>
    <w:p w:rsidR="00E45809" w:rsidRDefault="00E45809" w:rsidP="00B01A40">
      <w:pPr>
        <w:ind w:right="-720"/>
        <w:jc w:val="both"/>
      </w:pPr>
    </w:p>
    <w:p w:rsidR="00E47CDB" w:rsidRDefault="00C9309F" w:rsidP="00262746">
      <w:pPr>
        <w:ind w:right="-720"/>
        <w:jc w:val="right"/>
      </w:pPr>
      <w:r>
        <w:tab/>
      </w:r>
      <w:r>
        <w:tab/>
      </w:r>
      <w:r>
        <w:tab/>
        <w:t xml:space="preserve">          Use Variance</w:t>
      </w:r>
      <w:r w:rsidR="00ED306A">
        <w:t xml:space="preserve"> Relief</w:t>
      </w:r>
      <w:r w:rsidR="004B6105">
        <w:t>,</w:t>
      </w:r>
      <w:r w:rsidR="00D13A27">
        <w:t xml:space="preserve"> </w:t>
      </w:r>
      <w:r w:rsidR="004B6105">
        <w:t xml:space="preserve"> </w:t>
      </w:r>
      <w:r w:rsidR="00E47CDB">
        <w:t xml:space="preserve">Amended </w:t>
      </w:r>
      <w:r w:rsidR="00D13A27">
        <w:t>Preliminary &amp;</w:t>
      </w:r>
      <w:r w:rsidR="00BA564B">
        <w:t xml:space="preserve"> </w:t>
      </w:r>
    </w:p>
    <w:p w:rsidR="00C9309F" w:rsidRDefault="00D13A27" w:rsidP="00262746">
      <w:pPr>
        <w:ind w:right="-720"/>
        <w:jc w:val="right"/>
      </w:pPr>
      <w:r>
        <w:t>Final Site Plan</w:t>
      </w:r>
      <w:r w:rsidR="00E47CDB">
        <w:t xml:space="preserve"> </w:t>
      </w:r>
      <w:r>
        <w:t xml:space="preserve">Approval </w:t>
      </w:r>
      <w:r w:rsidR="00090A2F">
        <w:t>&amp; Bulk</w:t>
      </w:r>
      <w:r>
        <w:t xml:space="preserve"> Variances</w:t>
      </w:r>
      <w:r w:rsidR="00C9309F">
        <w:t xml:space="preserve">  </w:t>
      </w:r>
    </w:p>
    <w:p w:rsidR="00D13A27" w:rsidRDefault="001928B4" w:rsidP="00262746">
      <w:pPr>
        <w:ind w:right="-720"/>
        <w:jc w:val="right"/>
      </w:pPr>
      <w:r>
        <w:t xml:space="preserve">  </w:t>
      </w:r>
      <w:r w:rsidR="00E45809">
        <w:tab/>
      </w:r>
      <w:r w:rsidR="00E45809">
        <w:tab/>
      </w:r>
      <w:r w:rsidR="003C5288">
        <w:tab/>
      </w:r>
      <w:r w:rsidR="00E75F65">
        <w:t xml:space="preserve">               </w:t>
      </w:r>
      <w:r w:rsidR="004B6105">
        <w:t>PMG New Jersey, LLC</w:t>
      </w:r>
      <w:r w:rsidR="00BE4484">
        <w:t xml:space="preserve"> </w:t>
      </w:r>
    </w:p>
    <w:p w:rsidR="003C5288" w:rsidRDefault="004B6105" w:rsidP="00262746">
      <w:pPr>
        <w:ind w:right="-720"/>
        <w:jc w:val="right"/>
      </w:pPr>
      <w:r>
        <w:t>1 Lanes Mills Road</w:t>
      </w:r>
      <w:r w:rsidR="00BE4484">
        <w:t xml:space="preserve">    </w:t>
      </w:r>
      <w:r w:rsidR="003C5288">
        <w:t xml:space="preserve">            </w:t>
      </w:r>
      <w:r w:rsidR="001208B0">
        <w:t xml:space="preserve">   </w:t>
      </w:r>
      <w:r w:rsidR="00BE4484">
        <w:t xml:space="preserve">        </w:t>
      </w:r>
      <w:r w:rsidR="001208B0">
        <w:t xml:space="preserve"> </w:t>
      </w:r>
    </w:p>
    <w:p w:rsidR="003C5288" w:rsidRDefault="003C5288" w:rsidP="00B01A40">
      <w:pPr>
        <w:ind w:left="6480" w:right="-720"/>
        <w:jc w:val="right"/>
      </w:pPr>
      <w:r>
        <w:t xml:space="preserve"> </w:t>
      </w:r>
      <w:r w:rsidR="007D670F">
        <w:t xml:space="preserve">    </w:t>
      </w:r>
      <w:r w:rsidR="004B6105">
        <w:t>Block 1466.03, Lot 4</w:t>
      </w:r>
    </w:p>
    <w:p w:rsidR="003C5288" w:rsidRDefault="003C5288" w:rsidP="000F3C7D">
      <w:pPr>
        <w:ind w:left="5040" w:right="-720" w:hanging="1440"/>
        <w:jc w:val="right"/>
      </w:pPr>
      <w:r>
        <w:t xml:space="preserve">                   </w:t>
      </w:r>
      <w:r w:rsidR="00BE4484">
        <w:t xml:space="preserve">         </w:t>
      </w:r>
      <w:r w:rsidR="000F3C7D">
        <w:t>Zone</w:t>
      </w:r>
      <w:r w:rsidR="003A3820">
        <w:t>: B-</w:t>
      </w:r>
      <w:r w:rsidR="000F3C7D">
        <w:t>2 (General Business) Zone</w:t>
      </w:r>
    </w:p>
    <w:p w:rsidR="003021CB" w:rsidRDefault="001208B0" w:rsidP="003021CB">
      <w:pPr>
        <w:ind w:right="-720"/>
        <w:jc w:val="right"/>
      </w:pPr>
      <w:r>
        <w:t xml:space="preserve"> </w:t>
      </w:r>
      <w:r w:rsidR="00BE4484">
        <w:t xml:space="preserve">  </w:t>
      </w:r>
      <w:r>
        <w:t xml:space="preserve"> </w:t>
      </w:r>
      <w:r w:rsidR="00F26B7D">
        <w:t xml:space="preserve">     </w:t>
      </w:r>
      <w:r w:rsidR="003C5288">
        <w:t xml:space="preserve">Application No. </w:t>
      </w:r>
      <w:r w:rsidR="004B6105">
        <w:t>BA-</w:t>
      </w:r>
      <w:r w:rsidR="00E47CDB">
        <w:t>3028-A-PSP-FSP-C-D-5/20</w:t>
      </w:r>
    </w:p>
    <w:p w:rsidR="008678A2" w:rsidRDefault="008678A2" w:rsidP="00B01A40">
      <w:pPr>
        <w:ind w:left="6480" w:right="-720"/>
        <w:jc w:val="both"/>
      </w:pPr>
    </w:p>
    <w:p w:rsidR="004D565C" w:rsidRPr="00E47CDB" w:rsidRDefault="00D13A27" w:rsidP="00B01A40">
      <w:pPr>
        <w:ind w:right="-720"/>
        <w:jc w:val="center"/>
        <w:rPr>
          <w:b/>
        </w:rPr>
      </w:pPr>
      <w:r w:rsidRPr="00E47CDB">
        <w:rPr>
          <w:b/>
        </w:rPr>
        <w:t>RESOLUTION OF</w:t>
      </w:r>
      <w:r w:rsidR="00445728" w:rsidRPr="00E47CDB">
        <w:rPr>
          <w:b/>
        </w:rPr>
        <w:t xml:space="preserve"> APPROVAL</w:t>
      </w:r>
    </w:p>
    <w:p w:rsidR="004D565C" w:rsidRPr="00E47CDB" w:rsidRDefault="004D565C" w:rsidP="00B01A40">
      <w:pPr>
        <w:ind w:right="-720"/>
        <w:jc w:val="center"/>
        <w:rPr>
          <w:b/>
        </w:rPr>
      </w:pPr>
      <w:r w:rsidRPr="00E47CDB">
        <w:rPr>
          <w:b/>
        </w:rPr>
        <w:t>BRICK TOWNSHIP ZONING BOARD OF ADJUSTMENT</w:t>
      </w:r>
    </w:p>
    <w:p w:rsidR="007D670F" w:rsidRPr="00E47CDB" w:rsidRDefault="004D565C" w:rsidP="00B01A40">
      <w:pPr>
        <w:ind w:right="-720"/>
        <w:jc w:val="center"/>
        <w:rPr>
          <w:b/>
        </w:rPr>
      </w:pPr>
      <w:r w:rsidRPr="00E47CDB">
        <w:rPr>
          <w:b/>
        </w:rPr>
        <w:t xml:space="preserve">APPLICATION NO. </w:t>
      </w:r>
      <w:r w:rsidR="004B6105" w:rsidRPr="00E47CDB">
        <w:rPr>
          <w:b/>
        </w:rPr>
        <w:t>BA-</w:t>
      </w:r>
      <w:r w:rsidR="00E47CDB" w:rsidRPr="00E47CDB">
        <w:rPr>
          <w:b/>
        </w:rPr>
        <w:t>3028-A-PSP-FSP-C-D-5/20</w:t>
      </w:r>
    </w:p>
    <w:p w:rsidR="003A3820" w:rsidRPr="00E47CDB" w:rsidRDefault="009A04EC" w:rsidP="00B01A40">
      <w:pPr>
        <w:ind w:right="-720"/>
        <w:jc w:val="center"/>
        <w:rPr>
          <w:b/>
        </w:rPr>
      </w:pPr>
      <w:r w:rsidRPr="00E47CDB">
        <w:rPr>
          <w:b/>
        </w:rPr>
        <w:t xml:space="preserve">MEMORIALIZED </w:t>
      </w:r>
      <w:r w:rsidR="007B12B0">
        <w:rPr>
          <w:b/>
        </w:rPr>
        <w:t xml:space="preserve">OCTOBER </w:t>
      </w:r>
      <w:r w:rsidR="00E47CDB" w:rsidRPr="00E47CDB">
        <w:rPr>
          <w:b/>
        </w:rPr>
        <w:t>7, 2020</w:t>
      </w:r>
    </w:p>
    <w:p w:rsidR="002E4351" w:rsidRDefault="002E4351" w:rsidP="002E4351">
      <w:pPr>
        <w:spacing w:line="480" w:lineRule="auto"/>
        <w:ind w:firstLine="720"/>
        <w:jc w:val="both"/>
      </w:pPr>
    </w:p>
    <w:p w:rsidR="002E4351" w:rsidRDefault="002E4351" w:rsidP="002E4351">
      <w:pPr>
        <w:spacing w:line="480" w:lineRule="auto"/>
        <w:ind w:firstLine="720"/>
        <w:jc w:val="both"/>
      </w:pPr>
      <w:r w:rsidRPr="00E47CDB">
        <w:rPr>
          <w:b/>
        </w:rPr>
        <w:t>WHEREAS</w:t>
      </w:r>
      <w:r>
        <w:t xml:space="preserve">, </w:t>
      </w:r>
      <w:r w:rsidR="004B6105">
        <w:t>PMG New Jersey, LLC</w:t>
      </w:r>
      <w:r>
        <w:t xml:space="preserve"> (the “Applicant”) has applied to the Brick Township Zoning Board of Adjustment (the “Board”) for use variance</w:t>
      </w:r>
      <w:r w:rsidR="00CE347A">
        <w:t xml:space="preserve"> relief</w:t>
      </w:r>
      <w:r>
        <w:t xml:space="preserve">, pursuant to </w:t>
      </w:r>
      <w:r w:rsidRPr="00C9309F">
        <w:rPr>
          <w:u w:val="single"/>
        </w:rPr>
        <w:t>N.J.S.A.</w:t>
      </w:r>
      <w:r>
        <w:t xml:space="preserve"> 40:55D-70d</w:t>
      </w:r>
      <w:r w:rsidR="00CE347A">
        <w:t>(1)</w:t>
      </w:r>
      <w:r>
        <w:t>,</w:t>
      </w:r>
      <w:r w:rsidR="003A3820">
        <w:t xml:space="preserve"> </w:t>
      </w:r>
      <w:r w:rsidR="007900B1">
        <w:t xml:space="preserve">amended </w:t>
      </w:r>
      <w:r>
        <w:t xml:space="preserve">preliminary and final site plan approval, pursuant to </w:t>
      </w:r>
      <w:r>
        <w:rPr>
          <w:u w:val="single"/>
        </w:rPr>
        <w:t>N.J.S.A.</w:t>
      </w:r>
      <w:r w:rsidR="00CE347A">
        <w:t xml:space="preserve"> 40:55D-46 and 50</w:t>
      </w:r>
      <w:r>
        <w:t xml:space="preserve">, with </w:t>
      </w:r>
      <w:r w:rsidR="00E60394">
        <w:t xml:space="preserve">ancillary </w:t>
      </w:r>
      <w:r>
        <w:t>bulk variance</w:t>
      </w:r>
      <w:r w:rsidR="00E60394">
        <w:t xml:space="preserve"> relief</w:t>
      </w:r>
      <w:r>
        <w:t xml:space="preserve"> pursuant to </w:t>
      </w:r>
      <w:r w:rsidRPr="00C9309F">
        <w:rPr>
          <w:u w:val="single"/>
        </w:rPr>
        <w:t>N.J.S.A.</w:t>
      </w:r>
      <w:r>
        <w:t xml:space="preserve"> 40:55D-70c, for</w:t>
      </w:r>
      <w:r w:rsidRPr="00D966A3">
        <w:t xml:space="preserve"> lands known and designated as</w:t>
      </w:r>
      <w:r>
        <w:t xml:space="preserve"> </w:t>
      </w:r>
      <w:r w:rsidR="004B6105">
        <w:t>Block 1466.03, Lot 4</w:t>
      </w:r>
      <w:r>
        <w:t xml:space="preserve"> on the official Tax Map of the Township of Brick and more specifically known as </w:t>
      </w:r>
      <w:r w:rsidR="004B6105">
        <w:t>1 Lanes Mills Road</w:t>
      </w:r>
      <w:r>
        <w:t>, Brick, NJ 08723 (the “Property”); and</w:t>
      </w:r>
    </w:p>
    <w:p w:rsidR="002E4351" w:rsidRDefault="002E4351" w:rsidP="002E4351">
      <w:pPr>
        <w:spacing w:line="480" w:lineRule="auto"/>
        <w:jc w:val="both"/>
      </w:pPr>
      <w:r>
        <w:tab/>
      </w:r>
      <w:r w:rsidRPr="00E47CDB">
        <w:rPr>
          <w:b/>
        </w:rPr>
        <w:t>WHEREAS</w:t>
      </w:r>
      <w:r>
        <w:t xml:space="preserve">, </w:t>
      </w:r>
      <w:r w:rsidRPr="00D966A3">
        <w:rPr>
          <w:spacing w:val="-3"/>
        </w:rPr>
        <w:t xml:space="preserve">a complete application has been filed, the fees as required by Township Ordinance have been paid, </w:t>
      </w:r>
      <w:r>
        <w:t>proof of service and publication of notice as required by law has been furnished and determined to be in proper order,</w:t>
      </w:r>
      <w:r w:rsidRPr="00D966A3">
        <w:rPr>
          <w:spacing w:val="-3"/>
        </w:rPr>
        <w:t xml:space="preserve"> and it otherwise appears that the jurisdiction and powers of the Board have been properly invoked and exercised</w:t>
      </w:r>
      <w:r>
        <w:t>; and</w:t>
      </w:r>
    </w:p>
    <w:p w:rsidR="002E4351" w:rsidRDefault="00B833E7" w:rsidP="002E4351">
      <w:pPr>
        <w:spacing w:line="480" w:lineRule="auto"/>
        <w:jc w:val="both"/>
      </w:pPr>
      <w:r>
        <w:tab/>
      </w:r>
      <w:r w:rsidRPr="00E47CDB">
        <w:rPr>
          <w:b/>
        </w:rPr>
        <w:t>WHEREAS</w:t>
      </w:r>
      <w:r>
        <w:t xml:space="preserve">, </w:t>
      </w:r>
      <w:r w:rsidR="00E47CDB">
        <w:t xml:space="preserve">a </w:t>
      </w:r>
      <w:r w:rsidR="002E4351">
        <w:t xml:space="preserve">public hearing </w:t>
      </w:r>
      <w:r w:rsidR="00FE6243">
        <w:t>w</w:t>
      </w:r>
      <w:r w:rsidR="00E47CDB">
        <w:t>as</w:t>
      </w:r>
      <w:r w:rsidR="002E4351">
        <w:t xml:space="preserve"> held on</w:t>
      </w:r>
      <w:r w:rsidR="00E47CDB">
        <w:t xml:space="preserve"> September 3, 2020 via the Zoom virtual meeting platform, </w:t>
      </w:r>
      <w:r w:rsidR="002E4351">
        <w:t>at which time testimony and exhibits were presented on behalf of the Applicant and all interested parties having an opportunity to be heard.</w:t>
      </w:r>
    </w:p>
    <w:p w:rsidR="00FE47EB" w:rsidRDefault="00FE47EB" w:rsidP="00B01A40">
      <w:pPr>
        <w:spacing w:line="480" w:lineRule="auto"/>
        <w:jc w:val="both"/>
      </w:pPr>
      <w:r>
        <w:tab/>
      </w:r>
      <w:r w:rsidR="00CB323C" w:rsidRPr="00E47CDB">
        <w:rPr>
          <w:b/>
        </w:rPr>
        <w:t>NOW, THEREFORE</w:t>
      </w:r>
      <w:r w:rsidR="00132D87">
        <w:t>,</w:t>
      </w:r>
      <w:r>
        <w:t xml:space="preserve"> the Board makes the following findings </w:t>
      </w:r>
      <w:r w:rsidR="00051D3F">
        <w:t>of fact based on evidence presented at its public hearing</w:t>
      </w:r>
      <w:r w:rsidR="002827A6">
        <w:t>s</w:t>
      </w:r>
      <w:r w:rsidR="00051D3F">
        <w:t xml:space="preserve"> at which a record was made</w:t>
      </w:r>
      <w:r>
        <w:t>:</w:t>
      </w:r>
    </w:p>
    <w:p w:rsidR="00E60394" w:rsidRDefault="00F30802" w:rsidP="00F30802">
      <w:pPr>
        <w:pStyle w:val="ListParagraph"/>
        <w:numPr>
          <w:ilvl w:val="0"/>
          <w:numId w:val="2"/>
        </w:numPr>
        <w:spacing w:line="480" w:lineRule="auto"/>
        <w:ind w:left="0" w:firstLine="720"/>
        <w:jc w:val="both"/>
      </w:pPr>
      <w:r>
        <w:lastRenderedPageBreak/>
        <w:t xml:space="preserve"> </w:t>
      </w:r>
      <w:r w:rsidRPr="00F30802">
        <w:t xml:space="preserve">The </w:t>
      </w:r>
      <w:r w:rsidR="008A588B">
        <w:t xml:space="preserve">Applicant </w:t>
      </w:r>
      <w:r w:rsidRPr="00F30802">
        <w:t>is seeking</w:t>
      </w:r>
      <w:r w:rsidR="006849CB">
        <w:t xml:space="preserve"> use variance relief as well as</w:t>
      </w:r>
      <w:r w:rsidR="00D72E8B">
        <w:t xml:space="preserve"> amended</w:t>
      </w:r>
      <w:r w:rsidR="006849CB">
        <w:t xml:space="preserve"> </w:t>
      </w:r>
      <w:r w:rsidR="001D62B9">
        <w:t>p</w:t>
      </w:r>
      <w:r w:rsidRPr="00F30802">
        <w:t xml:space="preserve">reliminary and </w:t>
      </w:r>
      <w:r w:rsidR="001D62B9">
        <w:t>f</w:t>
      </w:r>
      <w:r w:rsidRPr="00F30802">
        <w:t xml:space="preserve">inal </w:t>
      </w:r>
      <w:r w:rsidR="001D62B9">
        <w:t>s</w:t>
      </w:r>
      <w:r w:rsidRPr="00F30802">
        <w:t xml:space="preserve">ite </w:t>
      </w:r>
      <w:r w:rsidR="001D62B9">
        <w:t>p</w:t>
      </w:r>
      <w:r w:rsidRPr="00F30802">
        <w:t>lan approval</w:t>
      </w:r>
      <w:r w:rsidR="001D62B9">
        <w:t xml:space="preserve"> </w:t>
      </w:r>
      <w:r w:rsidR="006849CB">
        <w:t xml:space="preserve">along </w:t>
      </w:r>
      <w:r w:rsidR="00250CFE">
        <w:t xml:space="preserve">with </w:t>
      </w:r>
      <w:r w:rsidR="007900B1">
        <w:t xml:space="preserve">ancillary </w:t>
      </w:r>
      <w:r w:rsidR="00250CFE" w:rsidRPr="00250CFE">
        <w:t>bulk variance relief</w:t>
      </w:r>
      <w:r w:rsidR="00423F82">
        <w:t xml:space="preserve"> permitting the removal of</w:t>
      </w:r>
      <w:r w:rsidRPr="00F30802">
        <w:t xml:space="preserve"> the existing +/-936 square foot masonry carwash building and the +/- 1,061 square f</w:t>
      </w:r>
      <w:r w:rsidR="002D4C2E">
        <w:t>o</w:t>
      </w:r>
      <w:r w:rsidRPr="00F30802">
        <w:t xml:space="preserve">ot convenience store </w:t>
      </w:r>
      <w:r>
        <w:t xml:space="preserve">beneath the fuel canopy and </w:t>
      </w:r>
      <w:r w:rsidR="00423F82">
        <w:t xml:space="preserve">to </w:t>
      </w:r>
      <w:r>
        <w:t>con</w:t>
      </w:r>
      <w:r w:rsidRPr="00F30802">
        <w:t>struct a new 5,246 squar</w:t>
      </w:r>
      <w:r w:rsidR="002D4C2E">
        <w:t>e</w:t>
      </w:r>
      <w:r w:rsidRPr="00F30802">
        <w:t xml:space="preserve"> foot building in the rear portion of the </w:t>
      </w:r>
      <w:r w:rsidR="00423F82">
        <w:t>Property</w:t>
      </w:r>
      <w:r w:rsidRPr="00F30802">
        <w:t xml:space="preserve"> to contain 3,010 square feet of retail space and a 2,236 square foot </w:t>
      </w:r>
      <w:r w:rsidR="000F52CD">
        <w:t xml:space="preserve">fast food </w:t>
      </w:r>
      <w:r w:rsidRPr="00F30802">
        <w:t>restaurant with a d</w:t>
      </w:r>
      <w:r w:rsidR="006849CB">
        <w:t>rive through lane. F</w:t>
      </w:r>
      <w:r w:rsidRPr="00F30802">
        <w:t xml:space="preserve">our (4) new fuel pumps are </w:t>
      </w:r>
      <w:r w:rsidR="006849CB">
        <w:t xml:space="preserve">also </w:t>
      </w:r>
      <w:r w:rsidRPr="00F30802">
        <w:t xml:space="preserve">proposed beneath the existing fuel canopy to provide eight (8) new fueling </w:t>
      </w:r>
      <w:r w:rsidR="006849CB">
        <w:t xml:space="preserve">positions. The Applicant also proposes to modify the existing parking area with </w:t>
      </w:r>
      <w:r w:rsidRPr="00F30802">
        <w:t>pavement expansion/reconstruction, curb installation, traffic striping and other pavement markings. The expanded gas</w:t>
      </w:r>
      <w:r w:rsidR="001D62B9">
        <w:t xml:space="preserve"> station and new </w:t>
      </w:r>
      <w:r w:rsidR="000F52CD">
        <w:t xml:space="preserve">fast food </w:t>
      </w:r>
      <w:r w:rsidR="001D62B9">
        <w:t>restaurant/</w:t>
      </w:r>
      <w:r w:rsidRPr="00F30802">
        <w:t>retail building are proposed to share a common 24-space parking area, the access to which is to be provided via two (2) existing access drives extending to/from Lanes Mill</w:t>
      </w:r>
      <w:r w:rsidR="00B71FB7">
        <w:t>s</w:t>
      </w:r>
      <w:r w:rsidRPr="00F30802">
        <w:t xml:space="preserve"> Road to the west</w:t>
      </w:r>
      <w:r w:rsidR="001D62B9">
        <w:t xml:space="preserve">. </w:t>
      </w:r>
      <w:r w:rsidRPr="00F30802">
        <w:t>An underground stormwater management basin comprised of thirty (30) inch diameter high density polyethylene (HDPE) pipes is proposed to mitigate the stormwater impact of the proposed development</w:t>
      </w:r>
      <w:r w:rsidR="007900B1">
        <w:t>.  The</w:t>
      </w:r>
      <w:r w:rsidRPr="00F30802">
        <w:t xml:space="preserve"> discharge </w:t>
      </w:r>
      <w:r w:rsidR="007900B1">
        <w:t xml:space="preserve">will </w:t>
      </w:r>
      <w:r w:rsidRPr="00F30802">
        <w:t>be connected to the existing drainage system within the Lanes Mill Road right-of-way to t</w:t>
      </w:r>
      <w:r w:rsidR="006849CB">
        <w:t>he west. T</w:t>
      </w:r>
      <w:r w:rsidR="001D62B9">
        <w:t>he new retail/</w:t>
      </w:r>
      <w:r w:rsidRPr="00F30802">
        <w:t xml:space="preserve">restaurant building is proposed to be serviced by existing public water and sanitary sewer mains within the adjacent right-of-way. Lighting, landscaping and signage improvements are also proposed. </w:t>
      </w:r>
      <w:r w:rsidR="007900B1">
        <w:t xml:space="preserve">There are no </w:t>
      </w:r>
      <w:r w:rsidRPr="00F30802">
        <w:t>public improvements proposed.</w:t>
      </w:r>
    </w:p>
    <w:p w:rsidR="00176BF6" w:rsidRDefault="00F30802" w:rsidP="00F30802">
      <w:pPr>
        <w:pStyle w:val="ListParagraph"/>
        <w:numPr>
          <w:ilvl w:val="0"/>
          <w:numId w:val="2"/>
        </w:numPr>
        <w:spacing w:line="480" w:lineRule="auto"/>
        <w:ind w:left="0" w:firstLine="720"/>
        <w:jc w:val="both"/>
      </w:pPr>
      <w:r>
        <w:t xml:space="preserve"> </w:t>
      </w:r>
      <w:r w:rsidRPr="00F30802">
        <w:t xml:space="preserve">The </w:t>
      </w:r>
      <w:r w:rsidR="007900B1">
        <w:t xml:space="preserve">Property contains </w:t>
      </w:r>
      <w:r w:rsidRPr="00F30802">
        <w:t>+/-1.2-acre</w:t>
      </w:r>
      <w:r w:rsidR="007900B1">
        <w:t>s</w:t>
      </w:r>
      <w:r w:rsidRPr="00F30802">
        <w:t xml:space="preserve"> </w:t>
      </w:r>
      <w:r w:rsidR="007900B1">
        <w:t xml:space="preserve"> and </w:t>
      </w:r>
      <w:r w:rsidRPr="00F30802">
        <w:t>is located on the southeasterly corner of the intersection of Lanes Mill Road and Burnt Tavern Road and has frontages of approximately 215 feet along each roadway</w:t>
      </w:r>
      <w:r w:rsidR="007900B1">
        <w:t xml:space="preserve"> within the B-2 Zone</w:t>
      </w:r>
      <w:r w:rsidRPr="00F30802">
        <w:t xml:space="preserve">. The </w:t>
      </w:r>
      <w:r w:rsidR="007900B1">
        <w:t xml:space="preserve">Property </w:t>
      </w:r>
      <w:r w:rsidRPr="00F30802">
        <w:t xml:space="preserve">also has +/-220 feet of </w:t>
      </w:r>
      <w:r w:rsidR="00522B98">
        <w:t>rear</w:t>
      </w:r>
      <w:r w:rsidRPr="00F30802">
        <w:t xml:space="preserve"> </w:t>
      </w:r>
      <w:r w:rsidRPr="00F30802">
        <w:lastRenderedPageBreak/>
        <w:t xml:space="preserve">frontage along the Garden State Parkway right-of-way. The </w:t>
      </w:r>
      <w:r w:rsidR="007900B1">
        <w:t xml:space="preserve">Property </w:t>
      </w:r>
      <w:r w:rsidRPr="00F30802">
        <w:t xml:space="preserve">and the adjacent </w:t>
      </w:r>
      <w:r w:rsidR="00D2284C">
        <w:t xml:space="preserve">lots </w:t>
      </w:r>
      <w:r w:rsidRPr="00F30802">
        <w:t>to the south and across Lanes Mill Road t</w:t>
      </w:r>
      <w:r w:rsidR="006849CB">
        <w:t>o the west are all situated in the</w:t>
      </w:r>
      <w:r w:rsidRPr="00F30802">
        <w:t xml:space="preserve"> B-2 (General Business) Zone and </w:t>
      </w:r>
      <w:r w:rsidR="007900B1">
        <w:t xml:space="preserve">are improved with </w:t>
      </w:r>
      <w:r w:rsidRPr="00F30802">
        <w:t>commercial uses. The properties to the east and across Burnt Tavern Road to the north are within the Garden State Parkway right-of-way, while the propert</w:t>
      </w:r>
      <w:r w:rsidR="00367113">
        <w:t>ies</w:t>
      </w:r>
      <w:r w:rsidRPr="00F30802">
        <w:t xml:space="preserve"> diagonally across the Burnt Tavern Road/Lanes Mill Road intersection to th</w:t>
      </w:r>
      <w:r w:rsidR="00522B98">
        <w:t xml:space="preserve">e northwest </w:t>
      </w:r>
      <w:r w:rsidR="007900B1">
        <w:t xml:space="preserve">are </w:t>
      </w:r>
      <w:r w:rsidR="006849CB">
        <w:t>located within the</w:t>
      </w:r>
      <w:r w:rsidRPr="00F30802">
        <w:t xml:space="preserve"> R-7.5 (Single Family Residential) Zone </w:t>
      </w:r>
      <w:r w:rsidR="00367113">
        <w:t xml:space="preserve">and </w:t>
      </w:r>
      <w:r w:rsidR="007900B1">
        <w:t>are  improved</w:t>
      </w:r>
      <w:r w:rsidR="00FF6D46">
        <w:t xml:space="preserve"> with </w:t>
      </w:r>
      <w:r w:rsidR="006849CB">
        <w:t>residential use</w:t>
      </w:r>
      <w:r w:rsidR="007900B1">
        <w:t>s</w:t>
      </w:r>
      <w:r w:rsidR="006849CB">
        <w:t xml:space="preserve">. The </w:t>
      </w:r>
      <w:r w:rsidR="007900B1">
        <w:t xml:space="preserve">Property </w:t>
      </w:r>
      <w:r w:rsidR="006849CB">
        <w:t xml:space="preserve">is currently </w:t>
      </w:r>
      <w:r w:rsidRPr="00F30802">
        <w:t>fully developed with a 4-pump gasoline service station, an overhead canopy, a convenience store, a</w:t>
      </w:r>
      <w:r w:rsidR="000F52CD">
        <w:t xml:space="preserve"> </w:t>
      </w:r>
      <w:r w:rsidR="00666428">
        <w:t>non-operating</w:t>
      </w:r>
      <w:r w:rsidRPr="00F30802">
        <w:t xml:space="preserve"> drive-through car wash facility and paved parking areas, as well as other associated improvements. The </w:t>
      </w:r>
      <w:r w:rsidR="007900B1">
        <w:t xml:space="preserve">Property </w:t>
      </w:r>
      <w:r w:rsidRPr="00F30802">
        <w:t>is not located within a FEMA-designated flood hazard area.</w:t>
      </w:r>
    </w:p>
    <w:p w:rsidR="005D17A8" w:rsidRDefault="00F30802" w:rsidP="00F30802">
      <w:pPr>
        <w:pStyle w:val="ListParagraph"/>
        <w:numPr>
          <w:ilvl w:val="0"/>
          <w:numId w:val="2"/>
        </w:numPr>
        <w:spacing w:line="480" w:lineRule="auto"/>
        <w:ind w:left="0" w:firstLine="720"/>
        <w:jc w:val="both"/>
      </w:pPr>
      <w:r>
        <w:t xml:space="preserve"> </w:t>
      </w:r>
      <w:r w:rsidR="002D4C2E">
        <w:t>The proposed stor</w:t>
      </w:r>
      <w:r w:rsidRPr="00F30802">
        <w:t>mwater management system will collect runoff from the proposed development with traditional catch basin inlets and convey the runoff via subsurface collection pipes to an underground detention basin consisting of tw</w:t>
      </w:r>
      <w:r w:rsidR="006849CB">
        <w:t>o (2) proposed 150</w:t>
      </w:r>
      <w:r w:rsidR="007D000B">
        <w:t>-</w:t>
      </w:r>
      <w:r w:rsidR="006849CB">
        <w:t>foo</w:t>
      </w:r>
      <w:r w:rsidR="00B71FB7">
        <w:t>t long 30-</w:t>
      </w:r>
      <w:r w:rsidRPr="00F30802">
        <w:t xml:space="preserve">inch diameter HDPE pipes. Stormwater runoff will then be discharged to an existing inlet catch basin located along Lanes Mill Road near the southwest corner of the </w:t>
      </w:r>
      <w:r w:rsidR="007900B1">
        <w:t xml:space="preserve">Property </w:t>
      </w:r>
      <w:r w:rsidRPr="00F30802">
        <w:t xml:space="preserve">through a multi-staged underground outlet control structure. </w:t>
      </w:r>
      <w:r w:rsidR="007900B1">
        <w:t xml:space="preserve">The </w:t>
      </w:r>
      <w:r w:rsidRPr="00F30802">
        <w:t>proposed development does not meet the threshold of a majo</w:t>
      </w:r>
      <w:r w:rsidR="006849CB">
        <w:t xml:space="preserve">r development as defined in </w:t>
      </w:r>
      <w:r w:rsidR="006849CB">
        <w:rPr>
          <w:u w:val="single"/>
        </w:rPr>
        <w:t>N.J.A.C.</w:t>
      </w:r>
      <w:r w:rsidRPr="00F30802">
        <w:t xml:space="preserve"> 7:8 and therefore the Applicant is not required to meet the recharge, quantity and water quality requirements of </w:t>
      </w:r>
      <w:r w:rsidRPr="00B71FB7">
        <w:rPr>
          <w:u w:val="single"/>
        </w:rPr>
        <w:t>N</w:t>
      </w:r>
      <w:r w:rsidR="00367113">
        <w:rPr>
          <w:u w:val="single"/>
        </w:rPr>
        <w:t>.</w:t>
      </w:r>
      <w:r w:rsidRPr="00B71FB7">
        <w:rPr>
          <w:u w:val="single"/>
        </w:rPr>
        <w:t>J</w:t>
      </w:r>
      <w:r w:rsidR="00367113">
        <w:rPr>
          <w:u w:val="single"/>
        </w:rPr>
        <w:t>.</w:t>
      </w:r>
      <w:r w:rsidRPr="00B71FB7">
        <w:rPr>
          <w:u w:val="single"/>
        </w:rPr>
        <w:t>A</w:t>
      </w:r>
      <w:r w:rsidR="00367113">
        <w:rPr>
          <w:u w:val="single"/>
        </w:rPr>
        <w:t>.</w:t>
      </w:r>
      <w:r w:rsidRPr="00B71FB7">
        <w:rPr>
          <w:u w:val="single"/>
        </w:rPr>
        <w:t>C</w:t>
      </w:r>
      <w:r w:rsidR="00367113">
        <w:rPr>
          <w:u w:val="single"/>
        </w:rPr>
        <w:t>.</w:t>
      </w:r>
      <w:r w:rsidRPr="00F30802">
        <w:t xml:space="preserve"> 7:8-5.2 or </w:t>
      </w:r>
      <w:r w:rsidRPr="00B71FB7">
        <w:rPr>
          <w:u w:val="single"/>
        </w:rPr>
        <w:t>N</w:t>
      </w:r>
      <w:r w:rsidR="00367113">
        <w:rPr>
          <w:u w:val="single"/>
        </w:rPr>
        <w:t>.</w:t>
      </w:r>
      <w:r w:rsidRPr="00B71FB7">
        <w:rPr>
          <w:u w:val="single"/>
        </w:rPr>
        <w:t>J</w:t>
      </w:r>
      <w:r w:rsidR="00367113">
        <w:rPr>
          <w:u w:val="single"/>
        </w:rPr>
        <w:t>.</w:t>
      </w:r>
      <w:r w:rsidRPr="00B71FB7">
        <w:rPr>
          <w:u w:val="single"/>
        </w:rPr>
        <w:t>A</w:t>
      </w:r>
      <w:r w:rsidR="00367113">
        <w:rPr>
          <w:u w:val="single"/>
        </w:rPr>
        <w:t>.</w:t>
      </w:r>
      <w:r w:rsidRPr="00B71FB7">
        <w:rPr>
          <w:u w:val="single"/>
        </w:rPr>
        <w:t>C</w:t>
      </w:r>
      <w:r w:rsidR="00367113">
        <w:rPr>
          <w:u w:val="single"/>
        </w:rPr>
        <w:t>.</w:t>
      </w:r>
      <w:r w:rsidRPr="00B71FB7">
        <w:rPr>
          <w:u w:val="single"/>
        </w:rPr>
        <w:t xml:space="preserve"> </w:t>
      </w:r>
      <w:r w:rsidRPr="00F30802">
        <w:t>7:8-5.4.</w:t>
      </w:r>
    </w:p>
    <w:p w:rsidR="00F30802" w:rsidRDefault="007900B1" w:rsidP="00B71FB7">
      <w:pPr>
        <w:pStyle w:val="ListParagraph"/>
        <w:numPr>
          <w:ilvl w:val="0"/>
          <w:numId w:val="2"/>
        </w:numPr>
        <w:spacing w:line="480" w:lineRule="auto"/>
        <w:ind w:left="0" w:firstLine="720"/>
        <w:jc w:val="both"/>
      </w:pPr>
      <w:r>
        <w:t>T</w:t>
      </w:r>
      <w:r w:rsidR="00F30802" w:rsidRPr="00F30802">
        <w:t xml:space="preserve">he </w:t>
      </w:r>
      <w:r w:rsidR="00D2284C">
        <w:t xml:space="preserve">Property was previously </w:t>
      </w:r>
      <w:r w:rsidR="00F30802" w:rsidRPr="00F30802">
        <w:t xml:space="preserve">granted </w:t>
      </w:r>
      <w:r w:rsidR="00522B98">
        <w:t>use variance relief and s</w:t>
      </w:r>
      <w:r w:rsidR="00F30802" w:rsidRPr="00F30802">
        <w:t xml:space="preserve">ite </w:t>
      </w:r>
      <w:r w:rsidR="00522B98">
        <w:t>p</w:t>
      </w:r>
      <w:r w:rsidR="00F30802" w:rsidRPr="00F30802">
        <w:t xml:space="preserve">lan </w:t>
      </w:r>
      <w:r w:rsidR="00522B98">
        <w:t>a</w:t>
      </w:r>
      <w:r w:rsidR="00F30802" w:rsidRPr="00F30802">
        <w:t>pproval</w:t>
      </w:r>
      <w:r>
        <w:t xml:space="preserve"> on June 18, 2014 </w:t>
      </w:r>
      <w:r w:rsidR="00D2284C">
        <w:t xml:space="preserve">permitting the modification of </w:t>
      </w:r>
      <w:r w:rsidR="00F30802" w:rsidRPr="00F30802">
        <w:t>pre</w:t>
      </w:r>
      <w:r w:rsidR="00D2284C">
        <w:t>-</w:t>
      </w:r>
      <w:r w:rsidR="00F30802" w:rsidRPr="00F30802">
        <w:t xml:space="preserve">existing sign package and fuel canopy. The </w:t>
      </w:r>
      <w:r w:rsidR="00367113">
        <w:lastRenderedPageBreak/>
        <w:t>f</w:t>
      </w:r>
      <w:r w:rsidR="00F30802" w:rsidRPr="00F30802">
        <w:t>ollowing</w:t>
      </w:r>
      <w:r w:rsidR="000F52CD">
        <w:t xml:space="preserve"> bulk</w:t>
      </w:r>
      <w:r w:rsidR="00F30802" w:rsidRPr="00F30802">
        <w:t xml:space="preserve"> variance relief</w:t>
      </w:r>
      <w:r w:rsidR="00E31E16">
        <w:t xml:space="preserve"> was applied for but </w:t>
      </w:r>
      <w:r w:rsidR="00367113">
        <w:t xml:space="preserve">subsumed </w:t>
      </w:r>
      <w:r w:rsidR="00E31E16">
        <w:t>with</w:t>
      </w:r>
      <w:r w:rsidR="00367113">
        <w:t xml:space="preserve">in the use variance </w:t>
      </w:r>
      <w:r w:rsidR="00E31E16">
        <w:t xml:space="preserve">relief </w:t>
      </w:r>
      <w:r w:rsidR="00367113">
        <w:t xml:space="preserve">granted in the </w:t>
      </w:r>
      <w:r w:rsidR="00F30802" w:rsidRPr="00F30802">
        <w:t>2014 approval:</w:t>
      </w:r>
    </w:p>
    <w:p w:rsidR="00C6195A" w:rsidRDefault="00C6195A" w:rsidP="00C6195A">
      <w:pPr>
        <w:pStyle w:val="ListParagraph"/>
        <w:spacing w:line="480" w:lineRule="auto"/>
        <w:jc w:val="both"/>
      </w:pPr>
    </w:p>
    <w:tbl>
      <w:tblPr>
        <w:tblStyle w:val="TableGrid"/>
        <w:tblW w:w="0" w:type="auto"/>
        <w:tblInd w:w="715" w:type="dxa"/>
        <w:tblLook w:val="04A0" w:firstRow="1" w:lastRow="0" w:firstColumn="1" w:lastColumn="0" w:noHBand="0" w:noVBand="1"/>
      </w:tblPr>
      <w:tblGrid>
        <w:gridCol w:w="4320"/>
        <w:gridCol w:w="1530"/>
        <w:gridCol w:w="1440"/>
        <w:gridCol w:w="1345"/>
      </w:tblGrid>
      <w:tr w:rsidR="00EC553D" w:rsidRPr="00F07881" w:rsidTr="00963C2F">
        <w:trPr>
          <w:trHeight w:val="350"/>
        </w:trPr>
        <w:tc>
          <w:tcPr>
            <w:tcW w:w="4320" w:type="dxa"/>
          </w:tcPr>
          <w:p w:rsidR="00EC553D" w:rsidRDefault="00EC553D" w:rsidP="00FD6811">
            <w:pPr>
              <w:spacing w:line="480" w:lineRule="auto"/>
              <w:jc w:val="center"/>
            </w:pPr>
          </w:p>
        </w:tc>
        <w:tc>
          <w:tcPr>
            <w:tcW w:w="1530" w:type="dxa"/>
          </w:tcPr>
          <w:p w:rsidR="00EC553D" w:rsidRPr="00F07881" w:rsidRDefault="00522B98" w:rsidP="00FD6811">
            <w:pPr>
              <w:spacing w:line="480" w:lineRule="auto"/>
              <w:jc w:val="center"/>
              <w:rPr>
                <w:u w:val="single"/>
              </w:rPr>
            </w:pPr>
            <w:r>
              <w:rPr>
                <w:u w:val="single"/>
              </w:rPr>
              <w:t>Requir</w:t>
            </w:r>
            <w:r w:rsidR="00EC553D">
              <w:rPr>
                <w:u w:val="single"/>
              </w:rPr>
              <w:t>ed</w:t>
            </w:r>
          </w:p>
        </w:tc>
        <w:tc>
          <w:tcPr>
            <w:tcW w:w="1440" w:type="dxa"/>
          </w:tcPr>
          <w:p w:rsidR="00EC553D" w:rsidRPr="001E3779" w:rsidRDefault="00EC553D" w:rsidP="00FD6811">
            <w:pPr>
              <w:spacing w:line="480" w:lineRule="auto"/>
              <w:jc w:val="center"/>
              <w:rPr>
                <w:u w:val="single"/>
              </w:rPr>
            </w:pPr>
            <w:r w:rsidRPr="001E3779">
              <w:rPr>
                <w:u w:val="single"/>
              </w:rPr>
              <w:t>Existing</w:t>
            </w:r>
          </w:p>
        </w:tc>
        <w:tc>
          <w:tcPr>
            <w:tcW w:w="1345" w:type="dxa"/>
          </w:tcPr>
          <w:p w:rsidR="00EC553D" w:rsidRPr="00F07881" w:rsidRDefault="00EC553D" w:rsidP="00FD6811">
            <w:pPr>
              <w:spacing w:line="480" w:lineRule="auto"/>
              <w:jc w:val="center"/>
              <w:rPr>
                <w:u w:val="single"/>
              </w:rPr>
            </w:pPr>
            <w:r w:rsidRPr="00F07881">
              <w:rPr>
                <w:u w:val="single"/>
              </w:rPr>
              <w:t>Proposed</w:t>
            </w:r>
          </w:p>
        </w:tc>
      </w:tr>
      <w:tr w:rsidR="00EC553D" w:rsidRPr="004769D5" w:rsidTr="00963C2F">
        <w:trPr>
          <w:trHeight w:val="638"/>
        </w:trPr>
        <w:tc>
          <w:tcPr>
            <w:tcW w:w="4320" w:type="dxa"/>
          </w:tcPr>
          <w:p w:rsidR="00EC553D" w:rsidRPr="004769D5" w:rsidRDefault="00EC553D" w:rsidP="00EC553D">
            <w:pPr>
              <w:jc w:val="both"/>
              <w:rPr>
                <w:sz w:val="22"/>
                <w:szCs w:val="22"/>
              </w:rPr>
            </w:pPr>
            <w:r>
              <w:rPr>
                <w:sz w:val="22"/>
                <w:szCs w:val="22"/>
              </w:rPr>
              <w:t>Maximum driveway width</w:t>
            </w:r>
          </w:p>
        </w:tc>
        <w:tc>
          <w:tcPr>
            <w:tcW w:w="1530" w:type="dxa"/>
          </w:tcPr>
          <w:p w:rsidR="00EC553D" w:rsidRPr="004769D5" w:rsidRDefault="00EC553D" w:rsidP="00EC553D">
            <w:pPr>
              <w:spacing w:line="480" w:lineRule="auto"/>
              <w:jc w:val="center"/>
              <w:rPr>
                <w:sz w:val="22"/>
                <w:szCs w:val="22"/>
              </w:rPr>
            </w:pPr>
            <w:r>
              <w:rPr>
                <w:sz w:val="22"/>
                <w:szCs w:val="22"/>
              </w:rPr>
              <w:t>35 feet</w:t>
            </w:r>
          </w:p>
        </w:tc>
        <w:tc>
          <w:tcPr>
            <w:tcW w:w="1440" w:type="dxa"/>
          </w:tcPr>
          <w:p w:rsidR="00EC553D" w:rsidRPr="004769D5" w:rsidRDefault="00EC553D" w:rsidP="00FD6811">
            <w:pPr>
              <w:jc w:val="center"/>
              <w:rPr>
                <w:sz w:val="22"/>
                <w:szCs w:val="22"/>
                <w:vertAlign w:val="superscript"/>
              </w:rPr>
            </w:pPr>
            <w:r>
              <w:rPr>
                <w:sz w:val="22"/>
                <w:szCs w:val="22"/>
              </w:rPr>
              <w:t>+/-50 feet</w:t>
            </w:r>
          </w:p>
        </w:tc>
        <w:tc>
          <w:tcPr>
            <w:tcW w:w="1345" w:type="dxa"/>
          </w:tcPr>
          <w:p w:rsidR="00EC553D" w:rsidRPr="004769D5" w:rsidRDefault="00EC553D" w:rsidP="00FD6811">
            <w:pPr>
              <w:spacing w:line="480" w:lineRule="auto"/>
              <w:jc w:val="center"/>
              <w:rPr>
                <w:sz w:val="22"/>
                <w:szCs w:val="22"/>
                <w:vertAlign w:val="superscript"/>
              </w:rPr>
            </w:pPr>
            <w:r>
              <w:rPr>
                <w:sz w:val="22"/>
                <w:szCs w:val="22"/>
              </w:rPr>
              <w:t xml:space="preserve"> +/-50 feet</w:t>
            </w:r>
          </w:p>
        </w:tc>
      </w:tr>
      <w:tr w:rsidR="00EC553D" w:rsidRPr="004769D5" w:rsidTr="00963C2F">
        <w:tc>
          <w:tcPr>
            <w:tcW w:w="4320" w:type="dxa"/>
          </w:tcPr>
          <w:p w:rsidR="00EC553D" w:rsidRPr="004769D5" w:rsidRDefault="00EC553D" w:rsidP="00FD6811">
            <w:pPr>
              <w:jc w:val="both"/>
              <w:rPr>
                <w:sz w:val="22"/>
                <w:szCs w:val="22"/>
              </w:rPr>
            </w:pPr>
            <w:r>
              <w:rPr>
                <w:sz w:val="22"/>
                <w:szCs w:val="22"/>
              </w:rPr>
              <w:t>Loading area required</w:t>
            </w:r>
          </w:p>
        </w:tc>
        <w:tc>
          <w:tcPr>
            <w:tcW w:w="1530" w:type="dxa"/>
          </w:tcPr>
          <w:p w:rsidR="00EC553D" w:rsidRPr="004769D5" w:rsidRDefault="00EC553D" w:rsidP="00FD6811">
            <w:pPr>
              <w:spacing w:line="480" w:lineRule="auto"/>
              <w:jc w:val="center"/>
              <w:rPr>
                <w:sz w:val="22"/>
                <w:szCs w:val="22"/>
              </w:rPr>
            </w:pPr>
            <w:r>
              <w:rPr>
                <w:sz w:val="22"/>
                <w:szCs w:val="22"/>
              </w:rPr>
              <w:t>Yes</w:t>
            </w:r>
          </w:p>
        </w:tc>
        <w:tc>
          <w:tcPr>
            <w:tcW w:w="1440" w:type="dxa"/>
          </w:tcPr>
          <w:p w:rsidR="00EC553D" w:rsidRPr="004769D5" w:rsidRDefault="00EC553D" w:rsidP="00FD6811">
            <w:pPr>
              <w:spacing w:line="480" w:lineRule="auto"/>
              <w:jc w:val="center"/>
              <w:rPr>
                <w:sz w:val="22"/>
                <w:szCs w:val="22"/>
                <w:vertAlign w:val="superscript"/>
              </w:rPr>
            </w:pPr>
            <w:r>
              <w:rPr>
                <w:sz w:val="22"/>
                <w:szCs w:val="22"/>
              </w:rPr>
              <w:t>No</w:t>
            </w:r>
          </w:p>
        </w:tc>
        <w:tc>
          <w:tcPr>
            <w:tcW w:w="1345" w:type="dxa"/>
          </w:tcPr>
          <w:p w:rsidR="00EC553D" w:rsidRPr="004769D5" w:rsidRDefault="00EC553D" w:rsidP="00FD6811">
            <w:pPr>
              <w:spacing w:line="480" w:lineRule="auto"/>
              <w:jc w:val="center"/>
              <w:rPr>
                <w:sz w:val="22"/>
                <w:szCs w:val="22"/>
                <w:vertAlign w:val="superscript"/>
              </w:rPr>
            </w:pPr>
            <w:r>
              <w:rPr>
                <w:sz w:val="22"/>
                <w:szCs w:val="22"/>
              </w:rPr>
              <w:t>No</w:t>
            </w:r>
          </w:p>
        </w:tc>
      </w:tr>
      <w:tr w:rsidR="00EC553D" w:rsidRPr="004769D5" w:rsidTr="00963C2F">
        <w:trPr>
          <w:trHeight w:val="548"/>
        </w:trPr>
        <w:tc>
          <w:tcPr>
            <w:tcW w:w="4320" w:type="dxa"/>
          </w:tcPr>
          <w:p w:rsidR="00EC553D" w:rsidRPr="004769D5" w:rsidRDefault="00EC553D" w:rsidP="00FD6811">
            <w:pPr>
              <w:rPr>
                <w:sz w:val="22"/>
                <w:szCs w:val="22"/>
              </w:rPr>
            </w:pPr>
            <w:r>
              <w:rPr>
                <w:sz w:val="22"/>
                <w:szCs w:val="22"/>
              </w:rPr>
              <w:t>Parking space dimensions</w:t>
            </w:r>
          </w:p>
        </w:tc>
        <w:tc>
          <w:tcPr>
            <w:tcW w:w="1530" w:type="dxa"/>
          </w:tcPr>
          <w:p w:rsidR="00EC553D" w:rsidRPr="004769D5" w:rsidRDefault="00EC553D" w:rsidP="00FD6811">
            <w:pPr>
              <w:jc w:val="center"/>
              <w:rPr>
                <w:sz w:val="22"/>
                <w:szCs w:val="22"/>
              </w:rPr>
            </w:pPr>
            <w:r>
              <w:rPr>
                <w:sz w:val="22"/>
                <w:szCs w:val="22"/>
              </w:rPr>
              <w:t xml:space="preserve">10 feet by 18 feet </w:t>
            </w:r>
          </w:p>
        </w:tc>
        <w:tc>
          <w:tcPr>
            <w:tcW w:w="1440" w:type="dxa"/>
          </w:tcPr>
          <w:p w:rsidR="00EC553D" w:rsidRPr="004769D5" w:rsidRDefault="00EC553D" w:rsidP="00FD6811">
            <w:pPr>
              <w:jc w:val="center"/>
              <w:rPr>
                <w:sz w:val="22"/>
                <w:szCs w:val="22"/>
              </w:rPr>
            </w:pPr>
            <w:r>
              <w:rPr>
                <w:sz w:val="22"/>
                <w:szCs w:val="22"/>
              </w:rPr>
              <w:t>9 feet by 18 feet</w:t>
            </w:r>
          </w:p>
        </w:tc>
        <w:tc>
          <w:tcPr>
            <w:tcW w:w="1345" w:type="dxa"/>
          </w:tcPr>
          <w:p w:rsidR="00EC553D" w:rsidRPr="004769D5" w:rsidRDefault="00EC553D" w:rsidP="00FD6811">
            <w:pPr>
              <w:jc w:val="center"/>
              <w:rPr>
                <w:sz w:val="22"/>
                <w:szCs w:val="22"/>
                <w:vertAlign w:val="superscript"/>
              </w:rPr>
            </w:pPr>
            <w:r>
              <w:rPr>
                <w:sz w:val="22"/>
                <w:szCs w:val="22"/>
              </w:rPr>
              <w:t xml:space="preserve">9 feet by 18 feet </w:t>
            </w:r>
          </w:p>
        </w:tc>
      </w:tr>
      <w:tr w:rsidR="00EC553D" w:rsidRPr="004769D5" w:rsidTr="00963C2F">
        <w:tc>
          <w:tcPr>
            <w:tcW w:w="4320" w:type="dxa"/>
          </w:tcPr>
          <w:p w:rsidR="00EC553D" w:rsidRPr="004769D5" w:rsidRDefault="00963C2F" w:rsidP="00963C2F">
            <w:pPr>
              <w:rPr>
                <w:sz w:val="22"/>
                <w:szCs w:val="22"/>
              </w:rPr>
            </w:pPr>
            <w:r>
              <w:rPr>
                <w:sz w:val="22"/>
                <w:szCs w:val="22"/>
              </w:rPr>
              <w:t>Maximum sign area – site identification sign</w:t>
            </w:r>
          </w:p>
        </w:tc>
        <w:tc>
          <w:tcPr>
            <w:tcW w:w="1530" w:type="dxa"/>
          </w:tcPr>
          <w:p w:rsidR="00EC553D" w:rsidRPr="004769D5" w:rsidRDefault="00963C2F" w:rsidP="00FD6811">
            <w:pPr>
              <w:jc w:val="center"/>
              <w:rPr>
                <w:sz w:val="22"/>
                <w:szCs w:val="22"/>
              </w:rPr>
            </w:pPr>
            <w:r>
              <w:rPr>
                <w:sz w:val="22"/>
                <w:szCs w:val="22"/>
              </w:rPr>
              <w:t>40 s.f.</w:t>
            </w:r>
            <w:r w:rsidR="00EC553D">
              <w:rPr>
                <w:sz w:val="22"/>
                <w:szCs w:val="22"/>
              </w:rPr>
              <w:t xml:space="preserve"> </w:t>
            </w:r>
          </w:p>
        </w:tc>
        <w:tc>
          <w:tcPr>
            <w:tcW w:w="1440" w:type="dxa"/>
          </w:tcPr>
          <w:p w:rsidR="00EC553D" w:rsidRPr="004769D5" w:rsidRDefault="00963C2F" w:rsidP="00FD6811">
            <w:pPr>
              <w:jc w:val="center"/>
              <w:rPr>
                <w:sz w:val="22"/>
                <w:szCs w:val="22"/>
              </w:rPr>
            </w:pPr>
            <w:r>
              <w:rPr>
                <w:sz w:val="22"/>
                <w:szCs w:val="22"/>
              </w:rPr>
              <w:t>+/-74 s.f.</w:t>
            </w:r>
          </w:p>
        </w:tc>
        <w:tc>
          <w:tcPr>
            <w:tcW w:w="1345" w:type="dxa"/>
          </w:tcPr>
          <w:p w:rsidR="00EC553D" w:rsidRDefault="00963C2F" w:rsidP="00FD6811">
            <w:pPr>
              <w:jc w:val="center"/>
              <w:rPr>
                <w:sz w:val="22"/>
                <w:szCs w:val="22"/>
              </w:rPr>
            </w:pPr>
            <w:r>
              <w:rPr>
                <w:sz w:val="22"/>
                <w:szCs w:val="22"/>
              </w:rPr>
              <w:t>+/-85 s.f.</w:t>
            </w:r>
          </w:p>
          <w:p w:rsidR="00EC553D" w:rsidRPr="004769D5" w:rsidRDefault="00EC553D" w:rsidP="00FD6811">
            <w:pPr>
              <w:jc w:val="center"/>
              <w:rPr>
                <w:sz w:val="22"/>
                <w:szCs w:val="22"/>
              </w:rPr>
            </w:pPr>
          </w:p>
        </w:tc>
      </w:tr>
      <w:tr w:rsidR="00963C2F" w:rsidRPr="004769D5" w:rsidTr="00963C2F">
        <w:tc>
          <w:tcPr>
            <w:tcW w:w="4320" w:type="dxa"/>
          </w:tcPr>
          <w:p w:rsidR="00963C2F" w:rsidRDefault="00963C2F" w:rsidP="00963C2F">
            <w:pPr>
              <w:rPr>
                <w:sz w:val="22"/>
                <w:szCs w:val="22"/>
              </w:rPr>
            </w:pPr>
            <w:r>
              <w:rPr>
                <w:sz w:val="22"/>
                <w:szCs w:val="22"/>
              </w:rPr>
              <w:t>Maximum sign height</w:t>
            </w:r>
          </w:p>
        </w:tc>
        <w:tc>
          <w:tcPr>
            <w:tcW w:w="1530" w:type="dxa"/>
          </w:tcPr>
          <w:p w:rsidR="00963C2F" w:rsidRDefault="00963C2F" w:rsidP="00FD6811">
            <w:pPr>
              <w:jc w:val="center"/>
              <w:rPr>
                <w:sz w:val="22"/>
                <w:szCs w:val="22"/>
              </w:rPr>
            </w:pPr>
            <w:r>
              <w:rPr>
                <w:sz w:val="22"/>
                <w:szCs w:val="22"/>
              </w:rPr>
              <w:t>12 feet</w:t>
            </w:r>
          </w:p>
        </w:tc>
        <w:tc>
          <w:tcPr>
            <w:tcW w:w="1440" w:type="dxa"/>
          </w:tcPr>
          <w:p w:rsidR="00963C2F" w:rsidRDefault="00963C2F" w:rsidP="00FD6811">
            <w:pPr>
              <w:jc w:val="center"/>
              <w:rPr>
                <w:sz w:val="22"/>
                <w:szCs w:val="22"/>
              </w:rPr>
            </w:pPr>
            <w:r>
              <w:rPr>
                <w:sz w:val="22"/>
                <w:szCs w:val="22"/>
              </w:rPr>
              <w:t>20’-2”</w:t>
            </w:r>
          </w:p>
        </w:tc>
        <w:tc>
          <w:tcPr>
            <w:tcW w:w="1345" w:type="dxa"/>
          </w:tcPr>
          <w:p w:rsidR="00963C2F" w:rsidRDefault="00963C2F" w:rsidP="00FD6811">
            <w:pPr>
              <w:jc w:val="center"/>
              <w:rPr>
                <w:sz w:val="22"/>
                <w:szCs w:val="22"/>
              </w:rPr>
            </w:pPr>
            <w:r>
              <w:rPr>
                <w:sz w:val="22"/>
                <w:szCs w:val="22"/>
              </w:rPr>
              <w:t>20’-2”</w:t>
            </w:r>
          </w:p>
          <w:p w:rsidR="007B12B0" w:rsidRDefault="007B12B0" w:rsidP="00FD6811">
            <w:pPr>
              <w:jc w:val="center"/>
              <w:rPr>
                <w:sz w:val="22"/>
                <w:szCs w:val="22"/>
              </w:rPr>
            </w:pPr>
          </w:p>
        </w:tc>
      </w:tr>
    </w:tbl>
    <w:p w:rsidR="000C7B9C" w:rsidRDefault="000C7B9C" w:rsidP="00963C2F">
      <w:pPr>
        <w:spacing w:line="480" w:lineRule="auto"/>
        <w:ind w:left="1080"/>
        <w:jc w:val="both"/>
      </w:pPr>
    </w:p>
    <w:p w:rsidR="00963C2F" w:rsidRDefault="00E31E16" w:rsidP="00963C2F">
      <w:pPr>
        <w:pStyle w:val="ListParagraph"/>
        <w:numPr>
          <w:ilvl w:val="0"/>
          <w:numId w:val="2"/>
        </w:numPr>
        <w:spacing w:line="480" w:lineRule="auto"/>
        <w:ind w:left="0" w:firstLine="720"/>
        <w:jc w:val="both"/>
      </w:pPr>
      <w:r>
        <w:t xml:space="preserve">The Property was also granted additional use variance relief permitting </w:t>
      </w:r>
      <w:r w:rsidR="00963C2F">
        <w:t xml:space="preserve">the installation of signage with digital (LED) fuel price displays, as this type of </w:t>
      </w:r>
      <w:r w:rsidR="006849CB">
        <w:t>signage was not permitted at that</w:t>
      </w:r>
      <w:r w:rsidR="00963C2F">
        <w:t xml:space="preserve"> time. The Township Code has since been amended to permit digit</w:t>
      </w:r>
      <w:r w:rsidR="00735AAC">
        <w:t>al</w:t>
      </w:r>
      <w:r w:rsidR="00963C2F">
        <w:t>/LED fuel price displays.</w:t>
      </w:r>
    </w:p>
    <w:p w:rsidR="005D7D10" w:rsidRDefault="00367113" w:rsidP="00735AAC">
      <w:pPr>
        <w:pStyle w:val="ListParagraph"/>
        <w:numPr>
          <w:ilvl w:val="0"/>
          <w:numId w:val="2"/>
        </w:numPr>
        <w:spacing w:line="480" w:lineRule="auto"/>
        <w:ind w:left="0" w:firstLine="720"/>
        <w:jc w:val="both"/>
      </w:pPr>
      <w:r>
        <w:t>T</w:t>
      </w:r>
      <w:r w:rsidR="00963C2F">
        <w:t>he</w:t>
      </w:r>
      <w:r w:rsidR="00E31E16">
        <w:t xml:space="preserve"> Property was once again </w:t>
      </w:r>
      <w:r w:rsidR="00767270">
        <w:t xml:space="preserve">granted use variance relief and preliminary and final site plan approval </w:t>
      </w:r>
      <w:r w:rsidR="00602F7B">
        <w:t xml:space="preserve">on April 18, 2018, </w:t>
      </w:r>
      <w:r w:rsidR="00E31E16">
        <w:t xml:space="preserve">permitting the </w:t>
      </w:r>
      <w:r w:rsidR="00767270">
        <w:t>remov</w:t>
      </w:r>
      <w:r w:rsidR="00E31E16">
        <w:t>al of</w:t>
      </w:r>
      <w:r w:rsidR="00767270">
        <w:t xml:space="preserve"> the existing masonry car wash building and the +/- or 1,061 square foot convenience store beneath the fuel canopy and </w:t>
      </w:r>
      <w:r w:rsidR="00E31E16">
        <w:t xml:space="preserve">to </w:t>
      </w:r>
      <w:r w:rsidR="00767270">
        <w:t xml:space="preserve">construct a new 5,246 square foot building in the rear portion of the Property to contain 3,010 square feet of retail space and a 2,236 square foot fast food restaurant with a drive-thru lane.  Four (4) new fuel pumps were also approved beneath the existing fuel canopy to provide eight (8) new </w:t>
      </w:r>
      <w:r w:rsidR="00767270">
        <w:lastRenderedPageBreak/>
        <w:t xml:space="preserve">fueling positions.  The Applicant </w:t>
      </w:r>
      <w:r w:rsidR="00602F7B">
        <w:t xml:space="preserve">applied for </w:t>
      </w:r>
      <w:r w:rsidR="00767270">
        <w:t xml:space="preserve">the following bulk variance relief </w:t>
      </w:r>
      <w:r w:rsidR="00602F7B">
        <w:t>which was subsumed</w:t>
      </w:r>
      <w:r w:rsidR="00E31E16">
        <w:t xml:space="preserve"> within</w:t>
      </w:r>
      <w:r w:rsidR="00602F7B">
        <w:t xml:space="preserve"> the use variance </w:t>
      </w:r>
      <w:r w:rsidR="00E31E16">
        <w:t>relief</w:t>
      </w:r>
      <w:r w:rsidR="00767270">
        <w:t>:</w:t>
      </w:r>
    </w:p>
    <w:tbl>
      <w:tblPr>
        <w:tblStyle w:val="TableGrid"/>
        <w:tblW w:w="0" w:type="auto"/>
        <w:tblInd w:w="715" w:type="dxa"/>
        <w:tblLook w:val="04A0" w:firstRow="1" w:lastRow="0" w:firstColumn="1" w:lastColumn="0" w:noHBand="0" w:noVBand="1"/>
      </w:tblPr>
      <w:tblGrid>
        <w:gridCol w:w="4050"/>
        <w:gridCol w:w="1645"/>
        <w:gridCol w:w="1415"/>
        <w:gridCol w:w="1525"/>
      </w:tblGrid>
      <w:tr w:rsidR="0071444F" w:rsidRPr="00F07881" w:rsidTr="009314DD">
        <w:trPr>
          <w:trHeight w:val="350"/>
        </w:trPr>
        <w:tc>
          <w:tcPr>
            <w:tcW w:w="4050" w:type="dxa"/>
          </w:tcPr>
          <w:p w:rsidR="0071444F" w:rsidRDefault="0071444F" w:rsidP="00FD6811">
            <w:pPr>
              <w:spacing w:line="480" w:lineRule="auto"/>
              <w:jc w:val="center"/>
            </w:pPr>
          </w:p>
        </w:tc>
        <w:tc>
          <w:tcPr>
            <w:tcW w:w="1645" w:type="dxa"/>
          </w:tcPr>
          <w:p w:rsidR="0071444F" w:rsidRPr="00F07881" w:rsidRDefault="000F52CD" w:rsidP="00FD6811">
            <w:pPr>
              <w:spacing w:line="480" w:lineRule="auto"/>
              <w:jc w:val="center"/>
              <w:rPr>
                <w:u w:val="single"/>
              </w:rPr>
            </w:pPr>
            <w:r>
              <w:rPr>
                <w:u w:val="single"/>
              </w:rPr>
              <w:t>Requir</w:t>
            </w:r>
            <w:r w:rsidR="0071444F">
              <w:rPr>
                <w:u w:val="single"/>
              </w:rPr>
              <w:t>ed</w:t>
            </w:r>
          </w:p>
        </w:tc>
        <w:tc>
          <w:tcPr>
            <w:tcW w:w="1415" w:type="dxa"/>
          </w:tcPr>
          <w:p w:rsidR="0071444F" w:rsidRPr="001E3779" w:rsidRDefault="0071444F" w:rsidP="00FD6811">
            <w:pPr>
              <w:spacing w:line="480" w:lineRule="auto"/>
              <w:jc w:val="center"/>
              <w:rPr>
                <w:u w:val="single"/>
              </w:rPr>
            </w:pPr>
            <w:r w:rsidRPr="001E3779">
              <w:rPr>
                <w:u w:val="single"/>
              </w:rPr>
              <w:t>Existing</w:t>
            </w:r>
          </w:p>
        </w:tc>
        <w:tc>
          <w:tcPr>
            <w:tcW w:w="1525" w:type="dxa"/>
          </w:tcPr>
          <w:p w:rsidR="0071444F" w:rsidRPr="00F07881" w:rsidRDefault="0071444F" w:rsidP="00FD6811">
            <w:pPr>
              <w:spacing w:line="480" w:lineRule="auto"/>
              <w:jc w:val="center"/>
              <w:rPr>
                <w:u w:val="single"/>
              </w:rPr>
            </w:pPr>
            <w:r w:rsidRPr="00F07881">
              <w:rPr>
                <w:u w:val="single"/>
              </w:rPr>
              <w:t>Proposed</w:t>
            </w:r>
          </w:p>
        </w:tc>
      </w:tr>
      <w:tr w:rsidR="0071444F" w:rsidRPr="00F07881" w:rsidTr="009314DD">
        <w:trPr>
          <w:trHeight w:val="350"/>
        </w:trPr>
        <w:tc>
          <w:tcPr>
            <w:tcW w:w="4050" w:type="dxa"/>
          </w:tcPr>
          <w:p w:rsidR="0071444F" w:rsidRPr="0071444F" w:rsidRDefault="0071444F" w:rsidP="0071444F">
            <w:pPr>
              <w:rPr>
                <w:sz w:val="22"/>
                <w:szCs w:val="22"/>
              </w:rPr>
            </w:pPr>
            <w:r w:rsidRPr="0071444F">
              <w:rPr>
                <w:sz w:val="22"/>
                <w:szCs w:val="22"/>
              </w:rPr>
              <w:t>Minimum Front Setback</w:t>
            </w:r>
            <w:r w:rsidRPr="0071444F">
              <w:rPr>
                <w:sz w:val="22"/>
                <w:szCs w:val="22"/>
              </w:rPr>
              <w:br/>
              <w:t>(Commercial/Restaurant Building to Burnt Tavern Road)</w:t>
            </w:r>
          </w:p>
        </w:tc>
        <w:tc>
          <w:tcPr>
            <w:tcW w:w="1645" w:type="dxa"/>
          </w:tcPr>
          <w:p w:rsidR="0071444F" w:rsidRPr="0071444F" w:rsidRDefault="0071444F" w:rsidP="0071444F">
            <w:pPr>
              <w:jc w:val="center"/>
              <w:rPr>
                <w:sz w:val="22"/>
                <w:szCs w:val="22"/>
              </w:rPr>
            </w:pPr>
            <w:r w:rsidRPr="0071444F">
              <w:rPr>
                <w:sz w:val="22"/>
                <w:szCs w:val="22"/>
              </w:rPr>
              <w:t>50 feet</w:t>
            </w:r>
          </w:p>
        </w:tc>
        <w:tc>
          <w:tcPr>
            <w:tcW w:w="1415" w:type="dxa"/>
          </w:tcPr>
          <w:p w:rsidR="0071444F" w:rsidRPr="0071444F" w:rsidRDefault="0071444F" w:rsidP="0071444F">
            <w:pPr>
              <w:jc w:val="center"/>
              <w:rPr>
                <w:sz w:val="22"/>
                <w:szCs w:val="22"/>
              </w:rPr>
            </w:pPr>
            <w:r w:rsidRPr="0071444F">
              <w:rPr>
                <w:sz w:val="22"/>
                <w:szCs w:val="22"/>
              </w:rPr>
              <w:t>N/A</w:t>
            </w:r>
          </w:p>
        </w:tc>
        <w:tc>
          <w:tcPr>
            <w:tcW w:w="1525" w:type="dxa"/>
          </w:tcPr>
          <w:p w:rsidR="0071444F" w:rsidRPr="0071444F" w:rsidRDefault="0071444F" w:rsidP="0071444F">
            <w:pPr>
              <w:spacing w:line="480" w:lineRule="auto"/>
              <w:jc w:val="center"/>
              <w:rPr>
                <w:sz w:val="22"/>
                <w:szCs w:val="22"/>
              </w:rPr>
            </w:pPr>
            <w:r w:rsidRPr="0071444F">
              <w:rPr>
                <w:sz w:val="22"/>
                <w:szCs w:val="22"/>
              </w:rPr>
              <w:t>41.5 feet</w:t>
            </w:r>
          </w:p>
        </w:tc>
      </w:tr>
      <w:tr w:rsidR="0071444F" w:rsidRPr="00F07881" w:rsidTr="009314DD">
        <w:trPr>
          <w:trHeight w:val="350"/>
        </w:trPr>
        <w:tc>
          <w:tcPr>
            <w:tcW w:w="4050" w:type="dxa"/>
          </w:tcPr>
          <w:p w:rsidR="0071444F" w:rsidRPr="0071444F" w:rsidRDefault="0071444F" w:rsidP="0071444F">
            <w:pPr>
              <w:rPr>
                <w:sz w:val="22"/>
                <w:szCs w:val="22"/>
              </w:rPr>
            </w:pPr>
            <w:r w:rsidRPr="0071444F">
              <w:rPr>
                <w:sz w:val="22"/>
                <w:szCs w:val="22"/>
              </w:rPr>
              <w:t>Minimum Front Setback (Fuel Canopy to Lanes Mill Road)</w:t>
            </w:r>
          </w:p>
        </w:tc>
        <w:tc>
          <w:tcPr>
            <w:tcW w:w="1645" w:type="dxa"/>
          </w:tcPr>
          <w:p w:rsidR="0071444F" w:rsidRPr="0071444F" w:rsidRDefault="0071444F" w:rsidP="0071444F">
            <w:pPr>
              <w:jc w:val="center"/>
              <w:rPr>
                <w:sz w:val="22"/>
                <w:szCs w:val="22"/>
              </w:rPr>
            </w:pPr>
            <w:r w:rsidRPr="0071444F">
              <w:rPr>
                <w:sz w:val="22"/>
                <w:szCs w:val="22"/>
              </w:rPr>
              <w:t xml:space="preserve">50 feet  </w:t>
            </w:r>
          </w:p>
        </w:tc>
        <w:tc>
          <w:tcPr>
            <w:tcW w:w="1415" w:type="dxa"/>
          </w:tcPr>
          <w:p w:rsidR="0071444F" w:rsidRPr="0071444F" w:rsidRDefault="0071444F" w:rsidP="0071444F">
            <w:pPr>
              <w:jc w:val="center"/>
              <w:rPr>
                <w:sz w:val="22"/>
                <w:szCs w:val="22"/>
                <w:vertAlign w:val="superscript"/>
              </w:rPr>
            </w:pPr>
            <w:r w:rsidRPr="0071444F">
              <w:rPr>
                <w:sz w:val="22"/>
                <w:szCs w:val="22"/>
              </w:rPr>
              <w:t>39.4 feet</w:t>
            </w:r>
            <w:r w:rsidRPr="0071444F">
              <w:rPr>
                <w:sz w:val="22"/>
                <w:szCs w:val="22"/>
                <w:vertAlign w:val="superscript"/>
              </w:rPr>
              <w:t>(1)</w:t>
            </w:r>
          </w:p>
        </w:tc>
        <w:tc>
          <w:tcPr>
            <w:tcW w:w="1525" w:type="dxa"/>
          </w:tcPr>
          <w:p w:rsidR="0071444F" w:rsidRPr="0071444F" w:rsidRDefault="0071444F" w:rsidP="0071444F">
            <w:pPr>
              <w:spacing w:line="480" w:lineRule="auto"/>
              <w:jc w:val="center"/>
              <w:rPr>
                <w:sz w:val="22"/>
                <w:szCs w:val="22"/>
              </w:rPr>
            </w:pPr>
            <w:r w:rsidRPr="0071444F">
              <w:rPr>
                <w:sz w:val="22"/>
                <w:szCs w:val="22"/>
              </w:rPr>
              <w:t>39.4 feet</w:t>
            </w:r>
            <w:r w:rsidRPr="0071444F">
              <w:rPr>
                <w:sz w:val="22"/>
                <w:szCs w:val="22"/>
                <w:vertAlign w:val="superscript"/>
              </w:rPr>
              <w:t>(1)</w:t>
            </w:r>
          </w:p>
        </w:tc>
      </w:tr>
      <w:tr w:rsidR="0071444F" w:rsidRPr="00F07881" w:rsidTr="009314DD">
        <w:trPr>
          <w:trHeight w:val="350"/>
        </w:trPr>
        <w:tc>
          <w:tcPr>
            <w:tcW w:w="4050" w:type="dxa"/>
          </w:tcPr>
          <w:p w:rsidR="0071444F" w:rsidRPr="0071444F" w:rsidRDefault="0071444F" w:rsidP="0071444F">
            <w:pPr>
              <w:rPr>
                <w:sz w:val="22"/>
                <w:szCs w:val="22"/>
              </w:rPr>
            </w:pPr>
            <w:r w:rsidRPr="0071444F">
              <w:rPr>
                <w:sz w:val="22"/>
                <w:szCs w:val="22"/>
              </w:rPr>
              <w:t>Minimum Front Setback (Commercial/Restaurant Building to Garden State Parkway)</w:t>
            </w:r>
          </w:p>
        </w:tc>
        <w:tc>
          <w:tcPr>
            <w:tcW w:w="1645" w:type="dxa"/>
          </w:tcPr>
          <w:p w:rsidR="0071444F" w:rsidRPr="0071444F" w:rsidRDefault="0071444F" w:rsidP="0071444F">
            <w:pPr>
              <w:jc w:val="center"/>
              <w:rPr>
                <w:sz w:val="22"/>
                <w:szCs w:val="22"/>
              </w:rPr>
            </w:pPr>
            <w:r w:rsidRPr="0071444F">
              <w:rPr>
                <w:sz w:val="22"/>
                <w:szCs w:val="22"/>
              </w:rPr>
              <w:t>50 feet</w:t>
            </w:r>
          </w:p>
        </w:tc>
        <w:tc>
          <w:tcPr>
            <w:tcW w:w="1415" w:type="dxa"/>
          </w:tcPr>
          <w:p w:rsidR="0071444F" w:rsidRPr="0071444F" w:rsidRDefault="0071444F" w:rsidP="0071444F">
            <w:pPr>
              <w:jc w:val="center"/>
              <w:rPr>
                <w:sz w:val="22"/>
                <w:szCs w:val="22"/>
              </w:rPr>
            </w:pPr>
            <w:r w:rsidRPr="0071444F">
              <w:rPr>
                <w:sz w:val="22"/>
                <w:szCs w:val="22"/>
              </w:rPr>
              <w:t>N/A</w:t>
            </w:r>
          </w:p>
        </w:tc>
        <w:tc>
          <w:tcPr>
            <w:tcW w:w="1525" w:type="dxa"/>
          </w:tcPr>
          <w:p w:rsidR="0071444F" w:rsidRPr="0071444F" w:rsidRDefault="0071444F" w:rsidP="0071444F">
            <w:pPr>
              <w:spacing w:line="480" w:lineRule="auto"/>
              <w:jc w:val="center"/>
              <w:rPr>
                <w:sz w:val="22"/>
                <w:szCs w:val="22"/>
              </w:rPr>
            </w:pPr>
            <w:r w:rsidRPr="0071444F">
              <w:rPr>
                <w:sz w:val="22"/>
                <w:szCs w:val="22"/>
              </w:rPr>
              <w:t>157 feet</w:t>
            </w:r>
          </w:p>
        </w:tc>
      </w:tr>
      <w:tr w:rsidR="0071444F" w:rsidRPr="00F07881" w:rsidTr="009314DD">
        <w:trPr>
          <w:trHeight w:val="350"/>
        </w:trPr>
        <w:tc>
          <w:tcPr>
            <w:tcW w:w="4050" w:type="dxa"/>
          </w:tcPr>
          <w:p w:rsidR="0071444F" w:rsidRPr="0071444F" w:rsidRDefault="0071444F" w:rsidP="0071444F">
            <w:pPr>
              <w:rPr>
                <w:sz w:val="22"/>
                <w:szCs w:val="22"/>
              </w:rPr>
            </w:pPr>
            <w:r w:rsidRPr="0071444F">
              <w:rPr>
                <w:sz w:val="22"/>
                <w:szCs w:val="22"/>
              </w:rPr>
              <w:t>Maximum Impervious Coverage</w:t>
            </w:r>
          </w:p>
        </w:tc>
        <w:tc>
          <w:tcPr>
            <w:tcW w:w="1645" w:type="dxa"/>
          </w:tcPr>
          <w:p w:rsidR="0071444F" w:rsidRPr="0071444F" w:rsidRDefault="0071444F" w:rsidP="0071444F">
            <w:pPr>
              <w:jc w:val="center"/>
              <w:rPr>
                <w:sz w:val="22"/>
                <w:szCs w:val="22"/>
              </w:rPr>
            </w:pPr>
            <w:r w:rsidRPr="0071444F">
              <w:rPr>
                <w:sz w:val="22"/>
                <w:szCs w:val="22"/>
              </w:rPr>
              <w:t>65%</w:t>
            </w:r>
          </w:p>
        </w:tc>
        <w:tc>
          <w:tcPr>
            <w:tcW w:w="1415" w:type="dxa"/>
          </w:tcPr>
          <w:p w:rsidR="0071444F" w:rsidRPr="0071444F" w:rsidRDefault="0071444F" w:rsidP="0071444F">
            <w:pPr>
              <w:jc w:val="center"/>
              <w:rPr>
                <w:sz w:val="22"/>
                <w:szCs w:val="22"/>
              </w:rPr>
            </w:pPr>
            <w:r w:rsidRPr="0071444F">
              <w:rPr>
                <w:sz w:val="22"/>
                <w:szCs w:val="22"/>
              </w:rPr>
              <w:t>65.2%</w:t>
            </w:r>
          </w:p>
        </w:tc>
        <w:tc>
          <w:tcPr>
            <w:tcW w:w="1525" w:type="dxa"/>
          </w:tcPr>
          <w:p w:rsidR="0071444F" w:rsidRPr="0071444F" w:rsidRDefault="0071444F" w:rsidP="0071444F">
            <w:pPr>
              <w:spacing w:line="480" w:lineRule="auto"/>
              <w:jc w:val="center"/>
              <w:rPr>
                <w:sz w:val="22"/>
                <w:szCs w:val="22"/>
              </w:rPr>
            </w:pPr>
            <w:r w:rsidRPr="0071444F">
              <w:rPr>
                <w:sz w:val="22"/>
                <w:szCs w:val="22"/>
              </w:rPr>
              <w:t>79.8%</w:t>
            </w:r>
          </w:p>
        </w:tc>
      </w:tr>
      <w:tr w:rsidR="0071444F" w:rsidRPr="00F07881" w:rsidTr="009314DD">
        <w:trPr>
          <w:trHeight w:val="350"/>
        </w:trPr>
        <w:tc>
          <w:tcPr>
            <w:tcW w:w="4050" w:type="dxa"/>
          </w:tcPr>
          <w:p w:rsidR="0071444F" w:rsidRPr="0071444F" w:rsidRDefault="0071444F" w:rsidP="0071444F">
            <w:pPr>
              <w:rPr>
                <w:sz w:val="22"/>
                <w:szCs w:val="22"/>
              </w:rPr>
            </w:pPr>
            <w:r w:rsidRPr="0071444F">
              <w:rPr>
                <w:sz w:val="22"/>
                <w:szCs w:val="22"/>
              </w:rPr>
              <w:t>Maximum Quantity of Façade Signs (1 per Each Façade Facing a Lot Frontage)</w:t>
            </w:r>
          </w:p>
        </w:tc>
        <w:tc>
          <w:tcPr>
            <w:tcW w:w="1645" w:type="dxa"/>
          </w:tcPr>
          <w:p w:rsidR="0071444F" w:rsidRPr="0071444F" w:rsidRDefault="0071444F" w:rsidP="0071444F">
            <w:pPr>
              <w:jc w:val="center"/>
              <w:rPr>
                <w:sz w:val="22"/>
                <w:szCs w:val="22"/>
              </w:rPr>
            </w:pPr>
            <w:r w:rsidRPr="0071444F">
              <w:rPr>
                <w:sz w:val="22"/>
                <w:szCs w:val="22"/>
              </w:rPr>
              <w:t xml:space="preserve">3 </w:t>
            </w:r>
          </w:p>
        </w:tc>
        <w:tc>
          <w:tcPr>
            <w:tcW w:w="1415" w:type="dxa"/>
          </w:tcPr>
          <w:p w:rsidR="0071444F" w:rsidRPr="0071444F" w:rsidRDefault="0071444F" w:rsidP="0071444F">
            <w:pPr>
              <w:jc w:val="center"/>
              <w:rPr>
                <w:sz w:val="22"/>
                <w:szCs w:val="22"/>
              </w:rPr>
            </w:pPr>
            <w:r w:rsidRPr="0071444F">
              <w:rPr>
                <w:sz w:val="22"/>
                <w:szCs w:val="22"/>
              </w:rPr>
              <w:t>Not Indicated</w:t>
            </w:r>
          </w:p>
        </w:tc>
        <w:tc>
          <w:tcPr>
            <w:tcW w:w="1525" w:type="dxa"/>
          </w:tcPr>
          <w:p w:rsidR="0071444F" w:rsidRPr="0071444F" w:rsidRDefault="0071444F" w:rsidP="0071444F">
            <w:pPr>
              <w:spacing w:line="480" w:lineRule="auto"/>
              <w:jc w:val="center"/>
              <w:rPr>
                <w:sz w:val="22"/>
                <w:szCs w:val="22"/>
              </w:rPr>
            </w:pPr>
            <w:r w:rsidRPr="0071444F">
              <w:rPr>
                <w:sz w:val="22"/>
                <w:szCs w:val="22"/>
              </w:rPr>
              <w:t>6</w:t>
            </w:r>
          </w:p>
        </w:tc>
      </w:tr>
      <w:tr w:rsidR="0071444F" w:rsidRPr="00F07881" w:rsidTr="009314DD">
        <w:trPr>
          <w:trHeight w:val="350"/>
        </w:trPr>
        <w:tc>
          <w:tcPr>
            <w:tcW w:w="4050" w:type="dxa"/>
          </w:tcPr>
          <w:p w:rsidR="0071444F" w:rsidRPr="0071444F" w:rsidRDefault="0071444F" w:rsidP="0071444F">
            <w:pPr>
              <w:rPr>
                <w:sz w:val="22"/>
                <w:szCs w:val="22"/>
              </w:rPr>
            </w:pPr>
            <w:r>
              <w:rPr>
                <w:sz w:val="22"/>
                <w:szCs w:val="22"/>
              </w:rPr>
              <w:t>Maximum Area of Monument/Freestanding Signs</w:t>
            </w:r>
          </w:p>
        </w:tc>
        <w:tc>
          <w:tcPr>
            <w:tcW w:w="1645" w:type="dxa"/>
          </w:tcPr>
          <w:p w:rsidR="0071444F" w:rsidRPr="0071444F" w:rsidRDefault="0071444F" w:rsidP="0071444F">
            <w:pPr>
              <w:jc w:val="center"/>
              <w:rPr>
                <w:sz w:val="22"/>
                <w:szCs w:val="22"/>
              </w:rPr>
            </w:pPr>
            <w:r>
              <w:rPr>
                <w:sz w:val="22"/>
                <w:szCs w:val="22"/>
              </w:rPr>
              <w:t>40 s.f.</w:t>
            </w:r>
          </w:p>
        </w:tc>
        <w:tc>
          <w:tcPr>
            <w:tcW w:w="1415" w:type="dxa"/>
          </w:tcPr>
          <w:p w:rsidR="0071444F" w:rsidRPr="0071444F" w:rsidRDefault="0071444F" w:rsidP="0071444F">
            <w:pPr>
              <w:jc w:val="center"/>
              <w:rPr>
                <w:sz w:val="22"/>
                <w:szCs w:val="22"/>
              </w:rPr>
            </w:pPr>
            <w:r>
              <w:rPr>
                <w:sz w:val="22"/>
                <w:szCs w:val="22"/>
              </w:rPr>
              <w:t>54.8 s.f</w:t>
            </w:r>
          </w:p>
        </w:tc>
        <w:tc>
          <w:tcPr>
            <w:tcW w:w="1525" w:type="dxa"/>
          </w:tcPr>
          <w:p w:rsidR="0071444F" w:rsidRPr="0071444F" w:rsidRDefault="0071444F" w:rsidP="0071444F">
            <w:pPr>
              <w:spacing w:line="480" w:lineRule="auto"/>
              <w:jc w:val="center"/>
              <w:rPr>
                <w:sz w:val="22"/>
                <w:szCs w:val="22"/>
              </w:rPr>
            </w:pPr>
            <w:r>
              <w:rPr>
                <w:sz w:val="22"/>
                <w:szCs w:val="22"/>
              </w:rPr>
              <w:t>79.9 s.f.</w:t>
            </w:r>
            <w:r w:rsidRPr="0071444F">
              <w:rPr>
                <w:sz w:val="22"/>
                <w:szCs w:val="22"/>
                <w:vertAlign w:val="superscript"/>
              </w:rPr>
              <w:t xml:space="preserve"> (1)</w:t>
            </w:r>
          </w:p>
        </w:tc>
      </w:tr>
      <w:tr w:rsidR="0071444F" w:rsidRPr="00F07881" w:rsidTr="009314DD">
        <w:trPr>
          <w:trHeight w:val="350"/>
        </w:trPr>
        <w:tc>
          <w:tcPr>
            <w:tcW w:w="4050" w:type="dxa"/>
          </w:tcPr>
          <w:p w:rsidR="0071444F" w:rsidRDefault="0071444F" w:rsidP="0071444F">
            <w:pPr>
              <w:rPr>
                <w:sz w:val="22"/>
                <w:szCs w:val="22"/>
              </w:rPr>
            </w:pPr>
            <w:r>
              <w:rPr>
                <w:sz w:val="22"/>
                <w:szCs w:val="22"/>
              </w:rPr>
              <w:t>Maximum Quantity of Monument/ Freestanding Signs</w:t>
            </w:r>
          </w:p>
        </w:tc>
        <w:tc>
          <w:tcPr>
            <w:tcW w:w="1645" w:type="dxa"/>
          </w:tcPr>
          <w:p w:rsidR="0071444F" w:rsidRDefault="0071444F" w:rsidP="0071444F">
            <w:pPr>
              <w:jc w:val="center"/>
              <w:rPr>
                <w:sz w:val="22"/>
                <w:szCs w:val="22"/>
              </w:rPr>
            </w:pPr>
            <w:r>
              <w:rPr>
                <w:sz w:val="22"/>
                <w:szCs w:val="22"/>
              </w:rPr>
              <w:t>1</w:t>
            </w:r>
          </w:p>
        </w:tc>
        <w:tc>
          <w:tcPr>
            <w:tcW w:w="1415" w:type="dxa"/>
          </w:tcPr>
          <w:p w:rsidR="0071444F" w:rsidRDefault="0071444F" w:rsidP="0071444F">
            <w:pPr>
              <w:jc w:val="center"/>
              <w:rPr>
                <w:sz w:val="22"/>
                <w:szCs w:val="22"/>
              </w:rPr>
            </w:pPr>
            <w:r>
              <w:rPr>
                <w:sz w:val="22"/>
                <w:szCs w:val="22"/>
              </w:rPr>
              <w:t>1</w:t>
            </w:r>
          </w:p>
        </w:tc>
        <w:tc>
          <w:tcPr>
            <w:tcW w:w="1525" w:type="dxa"/>
          </w:tcPr>
          <w:p w:rsidR="0071444F" w:rsidRDefault="0071444F" w:rsidP="0071444F">
            <w:pPr>
              <w:spacing w:line="480" w:lineRule="auto"/>
              <w:jc w:val="center"/>
              <w:rPr>
                <w:sz w:val="22"/>
                <w:szCs w:val="22"/>
              </w:rPr>
            </w:pPr>
            <w:r>
              <w:rPr>
                <w:sz w:val="22"/>
                <w:szCs w:val="22"/>
              </w:rPr>
              <w:t>2</w:t>
            </w:r>
          </w:p>
        </w:tc>
      </w:tr>
      <w:tr w:rsidR="0071444F" w:rsidRPr="00F07881" w:rsidTr="009314DD">
        <w:trPr>
          <w:trHeight w:val="350"/>
        </w:trPr>
        <w:tc>
          <w:tcPr>
            <w:tcW w:w="4050" w:type="dxa"/>
          </w:tcPr>
          <w:p w:rsidR="0071444F" w:rsidRDefault="0071444F" w:rsidP="0071444F">
            <w:pPr>
              <w:rPr>
                <w:sz w:val="22"/>
                <w:szCs w:val="22"/>
              </w:rPr>
            </w:pPr>
            <w:r>
              <w:rPr>
                <w:sz w:val="22"/>
                <w:szCs w:val="22"/>
              </w:rPr>
              <w:t>Pylon Signs</w:t>
            </w:r>
          </w:p>
        </w:tc>
        <w:tc>
          <w:tcPr>
            <w:tcW w:w="1645" w:type="dxa"/>
          </w:tcPr>
          <w:p w:rsidR="0071444F" w:rsidRDefault="0071444F" w:rsidP="0071444F">
            <w:pPr>
              <w:jc w:val="center"/>
              <w:rPr>
                <w:sz w:val="22"/>
                <w:szCs w:val="22"/>
              </w:rPr>
            </w:pPr>
            <w:r>
              <w:rPr>
                <w:sz w:val="22"/>
                <w:szCs w:val="22"/>
              </w:rPr>
              <w:t>No</w:t>
            </w:r>
          </w:p>
        </w:tc>
        <w:tc>
          <w:tcPr>
            <w:tcW w:w="1415" w:type="dxa"/>
          </w:tcPr>
          <w:p w:rsidR="0071444F" w:rsidRDefault="0071444F" w:rsidP="0071444F">
            <w:pPr>
              <w:jc w:val="center"/>
              <w:rPr>
                <w:sz w:val="22"/>
                <w:szCs w:val="22"/>
              </w:rPr>
            </w:pPr>
            <w:r>
              <w:rPr>
                <w:sz w:val="22"/>
                <w:szCs w:val="22"/>
              </w:rPr>
              <w:t>Yes</w:t>
            </w:r>
          </w:p>
        </w:tc>
        <w:tc>
          <w:tcPr>
            <w:tcW w:w="1525" w:type="dxa"/>
          </w:tcPr>
          <w:p w:rsidR="0071444F" w:rsidRDefault="0071444F" w:rsidP="0071444F">
            <w:pPr>
              <w:spacing w:line="480" w:lineRule="auto"/>
              <w:jc w:val="center"/>
              <w:rPr>
                <w:sz w:val="22"/>
                <w:szCs w:val="22"/>
              </w:rPr>
            </w:pPr>
            <w:r>
              <w:rPr>
                <w:sz w:val="22"/>
                <w:szCs w:val="22"/>
              </w:rPr>
              <w:t>Yes</w:t>
            </w:r>
          </w:p>
        </w:tc>
      </w:tr>
      <w:tr w:rsidR="0071444F" w:rsidRPr="00F07881" w:rsidTr="009314DD">
        <w:trPr>
          <w:trHeight w:val="350"/>
        </w:trPr>
        <w:tc>
          <w:tcPr>
            <w:tcW w:w="4050" w:type="dxa"/>
          </w:tcPr>
          <w:p w:rsidR="0071444F" w:rsidRDefault="0071444F" w:rsidP="0071444F">
            <w:pPr>
              <w:rPr>
                <w:sz w:val="22"/>
                <w:szCs w:val="22"/>
              </w:rPr>
            </w:pPr>
            <w:r>
              <w:rPr>
                <w:sz w:val="22"/>
                <w:szCs w:val="22"/>
              </w:rPr>
              <w:t>Maximum Height for Freestanding Sign</w:t>
            </w:r>
          </w:p>
        </w:tc>
        <w:tc>
          <w:tcPr>
            <w:tcW w:w="1645" w:type="dxa"/>
          </w:tcPr>
          <w:p w:rsidR="0071444F" w:rsidRPr="0071444F" w:rsidRDefault="0071444F" w:rsidP="0071444F">
            <w:pPr>
              <w:jc w:val="center"/>
              <w:rPr>
                <w:sz w:val="22"/>
                <w:szCs w:val="22"/>
                <w:vertAlign w:val="superscript"/>
              </w:rPr>
            </w:pPr>
            <w:r>
              <w:rPr>
                <w:sz w:val="22"/>
                <w:szCs w:val="22"/>
              </w:rPr>
              <w:t>½ eave height</w:t>
            </w:r>
            <w:r>
              <w:rPr>
                <w:sz w:val="22"/>
                <w:szCs w:val="22"/>
                <w:vertAlign w:val="superscript"/>
              </w:rPr>
              <w:t xml:space="preserve">(2)  </w:t>
            </w:r>
            <w:r>
              <w:rPr>
                <w:sz w:val="22"/>
                <w:szCs w:val="22"/>
              </w:rPr>
              <w:t xml:space="preserve">= 8.16 feet </w:t>
            </w:r>
            <w:r>
              <w:rPr>
                <w:sz w:val="22"/>
                <w:szCs w:val="22"/>
                <w:vertAlign w:val="superscript"/>
              </w:rPr>
              <w:t xml:space="preserve"> </w:t>
            </w:r>
          </w:p>
        </w:tc>
        <w:tc>
          <w:tcPr>
            <w:tcW w:w="1415" w:type="dxa"/>
          </w:tcPr>
          <w:p w:rsidR="0071444F" w:rsidRDefault="0071444F" w:rsidP="0071444F">
            <w:pPr>
              <w:jc w:val="center"/>
              <w:rPr>
                <w:sz w:val="22"/>
                <w:szCs w:val="22"/>
              </w:rPr>
            </w:pPr>
            <w:r>
              <w:rPr>
                <w:sz w:val="22"/>
                <w:szCs w:val="22"/>
              </w:rPr>
              <w:t>20.2 feet</w:t>
            </w:r>
          </w:p>
        </w:tc>
        <w:tc>
          <w:tcPr>
            <w:tcW w:w="1525" w:type="dxa"/>
          </w:tcPr>
          <w:p w:rsidR="0071444F" w:rsidRDefault="0071444F" w:rsidP="002A6C5A">
            <w:pPr>
              <w:spacing w:line="480" w:lineRule="auto"/>
              <w:jc w:val="center"/>
              <w:rPr>
                <w:sz w:val="22"/>
                <w:szCs w:val="22"/>
              </w:rPr>
            </w:pPr>
            <w:r>
              <w:rPr>
                <w:sz w:val="22"/>
                <w:szCs w:val="22"/>
              </w:rPr>
              <w:t>20 feet</w:t>
            </w:r>
          </w:p>
        </w:tc>
      </w:tr>
      <w:tr w:rsidR="0071444F" w:rsidRPr="00F07881" w:rsidTr="009314DD">
        <w:trPr>
          <w:trHeight w:val="350"/>
        </w:trPr>
        <w:tc>
          <w:tcPr>
            <w:tcW w:w="4050" w:type="dxa"/>
          </w:tcPr>
          <w:p w:rsidR="0071444F" w:rsidRDefault="002A6C5A" w:rsidP="0071444F">
            <w:pPr>
              <w:rPr>
                <w:sz w:val="22"/>
                <w:szCs w:val="22"/>
              </w:rPr>
            </w:pPr>
            <w:r>
              <w:rPr>
                <w:sz w:val="22"/>
                <w:szCs w:val="22"/>
              </w:rPr>
              <w:t>Minimum Setback – Parking Areas to right-of-way</w:t>
            </w:r>
          </w:p>
        </w:tc>
        <w:tc>
          <w:tcPr>
            <w:tcW w:w="1645" w:type="dxa"/>
          </w:tcPr>
          <w:p w:rsidR="0071444F" w:rsidRDefault="002A6C5A" w:rsidP="0071444F">
            <w:pPr>
              <w:jc w:val="center"/>
              <w:rPr>
                <w:sz w:val="22"/>
                <w:szCs w:val="22"/>
              </w:rPr>
            </w:pPr>
            <w:r>
              <w:rPr>
                <w:sz w:val="22"/>
                <w:szCs w:val="22"/>
              </w:rPr>
              <w:t>20 feet</w:t>
            </w:r>
          </w:p>
        </w:tc>
        <w:tc>
          <w:tcPr>
            <w:tcW w:w="1415" w:type="dxa"/>
          </w:tcPr>
          <w:p w:rsidR="0071444F" w:rsidRDefault="002A6C5A" w:rsidP="0071444F">
            <w:pPr>
              <w:jc w:val="center"/>
              <w:rPr>
                <w:sz w:val="22"/>
                <w:szCs w:val="22"/>
              </w:rPr>
            </w:pPr>
            <w:r>
              <w:rPr>
                <w:sz w:val="22"/>
                <w:szCs w:val="22"/>
              </w:rPr>
              <w:t>±5 feet</w:t>
            </w:r>
          </w:p>
        </w:tc>
        <w:tc>
          <w:tcPr>
            <w:tcW w:w="1525" w:type="dxa"/>
          </w:tcPr>
          <w:p w:rsidR="0071444F" w:rsidRPr="002A6C5A" w:rsidRDefault="002A6C5A" w:rsidP="002A6C5A">
            <w:pPr>
              <w:spacing w:line="480" w:lineRule="auto"/>
              <w:jc w:val="center"/>
              <w:rPr>
                <w:sz w:val="22"/>
                <w:szCs w:val="22"/>
                <w:vertAlign w:val="superscript"/>
              </w:rPr>
            </w:pPr>
            <w:r>
              <w:rPr>
                <w:sz w:val="22"/>
                <w:szCs w:val="22"/>
              </w:rPr>
              <w:t>5.1 feet</w:t>
            </w:r>
            <w:r>
              <w:rPr>
                <w:sz w:val="22"/>
                <w:szCs w:val="22"/>
                <w:vertAlign w:val="superscript"/>
              </w:rPr>
              <w:t>(3)</w:t>
            </w:r>
          </w:p>
        </w:tc>
      </w:tr>
      <w:tr w:rsidR="0071444F" w:rsidRPr="00F07881" w:rsidTr="009314DD">
        <w:trPr>
          <w:trHeight w:val="350"/>
        </w:trPr>
        <w:tc>
          <w:tcPr>
            <w:tcW w:w="4050" w:type="dxa"/>
          </w:tcPr>
          <w:p w:rsidR="0071444F" w:rsidRDefault="002A6C5A" w:rsidP="0071444F">
            <w:pPr>
              <w:rPr>
                <w:sz w:val="22"/>
                <w:szCs w:val="22"/>
              </w:rPr>
            </w:pPr>
            <w:r>
              <w:rPr>
                <w:sz w:val="22"/>
                <w:szCs w:val="22"/>
              </w:rPr>
              <w:t>Maximum Commercial Driveway Width</w:t>
            </w:r>
          </w:p>
        </w:tc>
        <w:tc>
          <w:tcPr>
            <w:tcW w:w="1645" w:type="dxa"/>
          </w:tcPr>
          <w:p w:rsidR="0071444F" w:rsidRDefault="002A6C5A" w:rsidP="0071444F">
            <w:pPr>
              <w:jc w:val="center"/>
              <w:rPr>
                <w:sz w:val="22"/>
                <w:szCs w:val="22"/>
              </w:rPr>
            </w:pPr>
            <w:r>
              <w:rPr>
                <w:sz w:val="22"/>
                <w:szCs w:val="22"/>
              </w:rPr>
              <w:t>35 feet</w:t>
            </w:r>
          </w:p>
        </w:tc>
        <w:tc>
          <w:tcPr>
            <w:tcW w:w="1415" w:type="dxa"/>
          </w:tcPr>
          <w:p w:rsidR="0071444F" w:rsidRDefault="002A6C5A" w:rsidP="0071444F">
            <w:pPr>
              <w:jc w:val="center"/>
              <w:rPr>
                <w:sz w:val="22"/>
                <w:szCs w:val="22"/>
              </w:rPr>
            </w:pPr>
            <w:r>
              <w:rPr>
                <w:sz w:val="22"/>
                <w:szCs w:val="22"/>
              </w:rPr>
              <w:t>50 feet</w:t>
            </w:r>
          </w:p>
        </w:tc>
        <w:tc>
          <w:tcPr>
            <w:tcW w:w="1525" w:type="dxa"/>
          </w:tcPr>
          <w:p w:rsidR="0071444F" w:rsidRDefault="002A6C5A" w:rsidP="002A6C5A">
            <w:pPr>
              <w:spacing w:line="480" w:lineRule="auto"/>
              <w:jc w:val="center"/>
              <w:rPr>
                <w:sz w:val="22"/>
                <w:szCs w:val="22"/>
              </w:rPr>
            </w:pPr>
            <w:r>
              <w:rPr>
                <w:sz w:val="22"/>
                <w:szCs w:val="22"/>
              </w:rPr>
              <w:t>50 feet</w:t>
            </w:r>
            <w:r>
              <w:rPr>
                <w:sz w:val="22"/>
                <w:szCs w:val="22"/>
                <w:vertAlign w:val="superscript"/>
              </w:rPr>
              <w:t>(1)</w:t>
            </w:r>
          </w:p>
        </w:tc>
      </w:tr>
      <w:tr w:rsidR="0071444F" w:rsidRPr="00F07881" w:rsidTr="009314DD">
        <w:trPr>
          <w:trHeight w:val="350"/>
        </w:trPr>
        <w:tc>
          <w:tcPr>
            <w:tcW w:w="4050" w:type="dxa"/>
          </w:tcPr>
          <w:p w:rsidR="0071444F" w:rsidRDefault="002A6C5A" w:rsidP="0071444F">
            <w:pPr>
              <w:rPr>
                <w:sz w:val="22"/>
                <w:szCs w:val="22"/>
              </w:rPr>
            </w:pPr>
            <w:r>
              <w:rPr>
                <w:sz w:val="22"/>
                <w:szCs w:val="22"/>
              </w:rPr>
              <w:t>Minimum Sidewalk Width Abutting Parking</w:t>
            </w:r>
          </w:p>
        </w:tc>
        <w:tc>
          <w:tcPr>
            <w:tcW w:w="1645" w:type="dxa"/>
          </w:tcPr>
          <w:p w:rsidR="0071444F" w:rsidRDefault="002A6C5A" w:rsidP="0071444F">
            <w:pPr>
              <w:jc w:val="center"/>
              <w:rPr>
                <w:sz w:val="22"/>
                <w:szCs w:val="22"/>
              </w:rPr>
            </w:pPr>
            <w:r>
              <w:rPr>
                <w:sz w:val="22"/>
                <w:szCs w:val="22"/>
              </w:rPr>
              <w:t>6 feet</w:t>
            </w:r>
          </w:p>
        </w:tc>
        <w:tc>
          <w:tcPr>
            <w:tcW w:w="1415" w:type="dxa"/>
          </w:tcPr>
          <w:p w:rsidR="0071444F" w:rsidRDefault="002A6C5A" w:rsidP="0071444F">
            <w:pPr>
              <w:jc w:val="center"/>
              <w:rPr>
                <w:sz w:val="22"/>
                <w:szCs w:val="22"/>
              </w:rPr>
            </w:pPr>
            <w:r>
              <w:rPr>
                <w:sz w:val="22"/>
                <w:szCs w:val="22"/>
              </w:rPr>
              <w:t>N/A</w:t>
            </w:r>
          </w:p>
        </w:tc>
        <w:tc>
          <w:tcPr>
            <w:tcW w:w="1525" w:type="dxa"/>
          </w:tcPr>
          <w:p w:rsidR="0071444F" w:rsidRDefault="002A6C5A" w:rsidP="002A6C5A">
            <w:pPr>
              <w:spacing w:line="480" w:lineRule="auto"/>
              <w:jc w:val="center"/>
              <w:rPr>
                <w:sz w:val="22"/>
                <w:szCs w:val="22"/>
              </w:rPr>
            </w:pPr>
            <w:r>
              <w:rPr>
                <w:sz w:val="22"/>
                <w:szCs w:val="22"/>
              </w:rPr>
              <w:t>5 feet</w:t>
            </w:r>
            <w:r>
              <w:rPr>
                <w:sz w:val="22"/>
                <w:szCs w:val="22"/>
                <w:vertAlign w:val="superscript"/>
              </w:rPr>
              <w:t>(4)</w:t>
            </w:r>
          </w:p>
        </w:tc>
      </w:tr>
      <w:tr w:rsidR="00F451DC" w:rsidRPr="00F07881" w:rsidTr="009314DD">
        <w:trPr>
          <w:trHeight w:val="350"/>
        </w:trPr>
        <w:tc>
          <w:tcPr>
            <w:tcW w:w="4050" w:type="dxa"/>
          </w:tcPr>
          <w:p w:rsidR="00F451DC" w:rsidRDefault="00F451DC" w:rsidP="0071444F">
            <w:pPr>
              <w:rPr>
                <w:sz w:val="22"/>
                <w:szCs w:val="22"/>
              </w:rPr>
            </w:pPr>
            <w:r>
              <w:rPr>
                <w:sz w:val="22"/>
                <w:szCs w:val="22"/>
              </w:rPr>
              <w:t>Parking Space Size</w:t>
            </w:r>
          </w:p>
        </w:tc>
        <w:tc>
          <w:tcPr>
            <w:tcW w:w="1645" w:type="dxa"/>
          </w:tcPr>
          <w:p w:rsidR="00F451DC" w:rsidRDefault="00F451DC" w:rsidP="0071444F">
            <w:pPr>
              <w:jc w:val="center"/>
              <w:rPr>
                <w:sz w:val="22"/>
                <w:szCs w:val="22"/>
              </w:rPr>
            </w:pPr>
            <w:r>
              <w:rPr>
                <w:sz w:val="22"/>
                <w:szCs w:val="22"/>
              </w:rPr>
              <w:t>18’x 10’</w:t>
            </w:r>
          </w:p>
        </w:tc>
        <w:tc>
          <w:tcPr>
            <w:tcW w:w="1415" w:type="dxa"/>
          </w:tcPr>
          <w:p w:rsidR="00F451DC" w:rsidRDefault="00F451DC" w:rsidP="0071444F">
            <w:pPr>
              <w:jc w:val="center"/>
              <w:rPr>
                <w:sz w:val="22"/>
                <w:szCs w:val="22"/>
              </w:rPr>
            </w:pPr>
            <w:r>
              <w:rPr>
                <w:sz w:val="22"/>
                <w:szCs w:val="22"/>
              </w:rPr>
              <w:t>18’x 10’</w:t>
            </w:r>
          </w:p>
        </w:tc>
        <w:tc>
          <w:tcPr>
            <w:tcW w:w="1525" w:type="dxa"/>
          </w:tcPr>
          <w:p w:rsidR="00F451DC" w:rsidRDefault="00F451DC" w:rsidP="002A6C5A">
            <w:pPr>
              <w:spacing w:line="480" w:lineRule="auto"/>
              <w:jc w:val="center"/>
              <w:rPr>
                <w:sz w:val="22"/>
                <w:szCs w:val="22"/>
              </w:rPr>
            </w:pPr>
            <w:r>
              <w:rPr>
                <w:sz w:val="22"/>
                <w:szCs w:val="22"/>
              </w:rPr>
              <w:t>18’x 9’</w:t>
            </w:r>
          </w:p>
        </w:tc>
      </w:tr>
    </w:tbl>
    <w:p w:rsidR="00735AAC" w:rsidRPr="002A6C5A" w:rsidRDefault="0071444F" w:rsidP="002A6C5A">
      <w:pPr>
        <w:spacing w:after="120"/>
        <w:ind w:left="720"/>
        <w:jc w:val="both"/>
        <w:rPr>
          <w:sz w:val="22"/>
          <w:szCs w:val="22"/>
        </w:rPr>
      </w:pPr>
      <w:r>
        <w:rPr>
          <w:vertAlign w:val="superscript"/>
        </w:rPr>
        <w:t xml:space="preserve">(1)  </w:t>
      </w:r>
      <w:r w:rsidRPr="002A6C5A">
        <w:rPr>
          <w:sz w:val="22"/>
          <w:szCs w:val="22"/>
        </w:rPr>
        <w:t>Existing condition; no change proposed.</w:t>
      </w:r>
    </w:p>
    <w:p w:rsidR="001D62B9" w:rsidRDefault="0071444F" w:rsidP="002A6C5A">
      <w:pPr>
        <w:spacing w:after="120"/>
        <w:ind w:left="1008" w:hanging="288"/>
        <w:jc w:val="both"/>
        <w:rPr>
          <w:sz w:val="22"/>
          <w:szCs w:val="22"/>
        </w:rPr>
      </w:pPr>
      <w:r w:rsidRPr="002A6C5A">
        <w:rPr>
          <w:sz w:val="22"/>
          <w:szCs w:val="22"/>
          <w:vertAlign w:val="superscript"/>
        </w:rPr>
        <w:t>(2)</w:t>
      </w:r>
      <w:r w:rsidRPr="002A6C5A">
        <w:rPr>
          <w:sz w:val="22"/>
          <w:szCs w:val="22"/>
        </w:rPr>
        <w:t xml:space="preserve"> </w:t>
      </w:r>
      <w:r w:rsidR="002A6C5A">
        <w:rPr>
          <w:sz w:val="22"/>
          <w:szCs w:val="22"/>
        </w:rPr>
        <w:t xml:space="preserve"> </w:t>
      </w:r>
      <w:r w:rsidRPr="002A6C5A">
        <w:rPr>
          <w:sz w:val="22"/>
          <w:szCs w:val="22"/>
        </w:rPr>
        <w:t xml:space="preserve">The eave height of 16.33 feet was used to determine the maximum freestanding sign height. This is the height of the proposed roof parapet above the adjacent grade. </w:t>
      </w:r>
    </w:p>
    <w:p w:rsidR="0071444F" w:rsidRPr="002A6C5A" w:rsidRDefault="0071444F" w:rsidP="002A6C5A">
      <w:pPr>
        <w:spacing w:after="120"/>
        <w:ind w:left="1008" w:hanging="288"/>
        <w:jc w:val="both"/>
        <w:rPr>
          <w:sz w:val="22"/>
          <w:szCs w:val="22"/>
        </w:rPr>
      </w:pPr>
      <w:r w:rsidRPr="002A6C5A">
        <w:rPr>
          <w:sz w:val="22"/>
          <w:szCs w:val="22"/>
          <w:vertAlign w:val="superscript"/>
        </w:rPr>
        <w:t>(3)</w:t>
      </w:r>
      <w:r w:rsidR="002A6C5A" w:rsidRPr="002A6C5A">
        <w:rPr>
          <w:sz w:val="22"/>
          <w:szCs w:val="22"/>
          <w:vertAlign w:val="superscript"/>
        </w:rPr>
        <w:t xml:space="preserve">  </w:t>
      </w:r>
      <w:r w:rsidR="002A6C5A" w:rsidRPr="002A6C5A">
        <w:rPr>
          <w:sz w:val="22"/>
          <w:szCs w:val="22"/>
        </w:rPr>
        <w:t>Proposed parking area setback to Garden State Parkway right-of-way. Existing parking area setback to Lanes Mill Road is +/-8 feet and is not proposed to change. However, parking stalls are proposed with a setback of +/-18 feet to Burnt Tavern Road, whereas the closest existing parking stall to the right-of-way has a setback of +/-58 feet.</w:t>
      </w:r>
    </w:p>
    <w:p w:rsidR="0071444F" w:rsidRPr="002A6C5A" w:rsidRDefault="0071444F" w:rsidP="005F7534">
      <w:pPr>
        <w:ind w:left="1008" w:hanging="288"/>
        <w:jc w:val="both"/>
        <w:rPr>
          <w:sz w:val="22"/>
          <w:szCs w:val="22"/>
        </w:rPr>
      </w:pPr>
      <w:r>
        <w:rPr>
          <w:vertAlign w:val="superscript"/>
        </w:rPr>
        <w:t>(4)</w:t>
      </w:r>
      <w:r w:rsidR="002A6C5A">
        <w:rPr>
          <w:vertAlign w:val="superscript"/>
        </w:rPr>
        <w:t xml:space="preserve">  </w:t>
      </w:r>
      <w:r w:rsidR="002A6C5A" w:rsidRPr="002A6C5A">
        <w:rPr>
          <w:sz w:val="22"/>
          <w:szCs w:val="22"/>
        </w:rPr>
        <w:t>A 5</w:t>
      </w:r>
      <w:r w:rsidR="005F7534">
        <w:rPr>
          <w:sz w:val="22"/>
          <w:szCs w:val="22"/>
        </w:rPr>
        <w:t>-</w:t>
      </w:r>
      <w:r w:rsidR="002A6C5A" w:rsidRPr="002A6C5A">
        <w:rPr>
          <w:sz w:val="22"/>
          <w:szCs w:val="22"/>
        </w:rPr>
        <w:t>foot wide sidewalk is proposed along the four angled parking spaces. All other sidewalks adjacent to parking spaces are compliant with the 6</w:t>
      </w:r>
      <w:r w:rsidR="005F7534">
        <w:rPr>
          <w:sz w:val="22"/>
          <w:szCs w:val="22"/>
        </w:rPr>
        <w:t>-</w:t>
      </w:r>
      <w:r w:rsidR="002A6C5A" w:rsidRPr="002A6C5A">
        <w:rPr>
          <w:sz w:val="22"/>
          <w:szCs w:val="22"/>
        </w:rPr>
        <w:t xml:space="preserve">foot width requirement. </w:t>
      </w:r>
    </w:p>
    <w:p w:rsidR="00735AAC" w:rsidRPr="002A6C5A" w:rsidRDefault="00735AAC" w:rsidP="005F7534">
      <w:pPr>
        <w:spacing w:line="480" w:lineRule="auto"/>
        <w:ind w:left="1008" w:hanging="288"/>
        <w:jc w:val="both"/>
        <w:rPr>
          <w:sz w:val="22"/>
          <w:szCs w:val="22"/>
        </w:rPr>
      </w:pPr>
    </w:p>
    <w:p w:rsidR="00767270" w:rsidRDefault="002827A6" w:rsidP="005D7D10">
      <w:pPr>
        <w:pStyle w:val="ListParagraph"/>
        <w:numPr>
          <w:ilvl w:val="0"/>
          <w:numId w:val="2"/>
        </w:numPr>
        <w:spacing w:line="480" w:lineRule="auto"/>
        <w:ind w:left="0" w:firstLine="720"/>
        <w:jc w:val="both"/>
      </w:pPr>
      <w:r>
        <w:lastRenderedPageBreak/>
        <w:t xml:space="preserve">The Applicant was represented by </w:t>
      </w:r>
      <w:r w:rsidR="009314DD">
        <w:t>Jason Tuvel</w:t>
      </w:r>
      <w:r>
        <w:t>, Esq.</w:t>
      </w:r>
      <w:r w:rsidR="009314DD">
        <w:t xml:space="preserve">  Mr. Tuvel stated the </w:t>
      </w:r>
      <w:r w:rsidR="00767270">
        <w:t xml:space="preserve"> Board </w:t>
      </w:r>
      <w:r w:rsidR="00E31E16">
        <w:t xml:space="preserve">previously </w:t>
      </w:r>
      <w:r w:rsidR="00767270">
        <w:t xml:space="preserve">granted use variance relief with preliminary and final site plan approval in April 2018 </w:t>
      </w:r>
      <w:r w:rsidR="00E31E16">
        <w:t xml:space="preserve">permitting the </w:t>
      </w:r>
      <w:r w:rsidR="00767270">
        <w:t>construct</w:t>
      </w:r>
      <w:r w:rsidR="00E31E16">
        <w:t>ion of</w:t>
      </w:r>
      <w:r w:rsidR="00767270">
        <w:t xml:space="preserve"> a fast food restaurant with </w:t>
      </w:r>
      <w:r w:rsidR="00E31E16">
        <w:t xml:space="preserve">a </w:t>
      </w:r>
      <w:r w:rsidR="00767270">
        <w:t>drive-thru and convenie</w:t>
      </w:r>
      <w:r w:rsidR="00E31E16">
        <w:t>nce</w:t>
      </w:r>
      <w:r w:rsidR="00767270">
        <w:t xml:space="preserve"> store/gas station on the Property.  He noted that the gas station is not a permitted use in the B-2 Zone (and was not a permitted use in 2018</w:t>
      </w:r>
      <w:r w:rsidR="00767270" w:rsidRPr="00E31471">
        <w:t>).  He stated the Applicant further proposed to add two (2) pumps to the existing gas station for a total of eight (8) fuel pumps on the site</w:t>
      </w:r>
      <w:r w:rsidR="00E31471" w:rsidRPr="00E31471">
        <w:t xml:space="preserve">, which was likewise </w:t>
      </w:r>
      <w:r w:rsidR="00E31471">
        <w:t>approved by the Board in 2018.</w:t>
      </w:r>
      <w:r w:rsidR="00767270">
        <w:t xml:space="preserve">  Mr. Tuvel explained that the Applicant </w:t>
      </w:r>
      <w:r w:rsidR="006F0669">
        <w:t xml:space="preserve">had </w:t>
      </w:r>
      <w:r w:rsidR="00767270">
        <w:t xml:space="preserve">satisfied all conditions of Resolution Compliance pertaining to the 2018 approval.  He </w:t>
      </w:r>
      <w:r w:rsidR="00602F7B">
        <w:t xml:space="preserve">then stated </w:t>
      </w:r>
      <w:r w:rsidR="00767270">
        <w:t xml:space="preserve">that </w:t>
      </w:r>
      <w:r w:rsidR="006F0669">
        <w:t xml:space="preserve">the </w:t>
      </w:r>
      <w:r w:rsidR="00767270">
        <w:t xml:space="preserve">Ocean County </w:t>
      </w:r>
      <w:r w:rsidR="006F0669">
        <w:t xml:space="preserve">Planning Board approval required </w:t>
      </w:r>
      <w:r w:rsidR="00767270">
        <w:t xml:space="preserve">a right-of-way dedication </w:t>
      </w:r>
      <w:r w:rsidR="006F0669">
        <w:t>which al</w:t>
      </w:r>
      <w:r w:rsidR="00E31471">
        <w:t>tered</w:t>
      </w:r>
      <w:r w:rsidR="006F0669">
        <w:t xml:space="preserve"> the si</w:t>
      </w:r>
      <w:r w:rsidR="009911CB">
        <w:t>z</w:t>
      </w:r>
      <w:r w:rsidR="006F0669">
        <w:t xml:space="preserve">e of the Property and therefore </w:t>
      </w:r>
      <w:r w:rsidR="00767270">
        <w:t>require</w:t>
      </w:r>
      <w:r w:rsidR="006F0669">
        <w:t>d new</w:t>
      </w:r>
      <w:r w:rsidR="00767270">
        <w:t xml:space="preserve"> use variance relief along with amended preliminary and final site plan approval.</w:t>
      </w:r>
    </w:p>
    <w:p w:rsidR="00767270" w:rsidRDefault="00767270" w:rsidP="005D7D10">
      <w:pPr>
        <w:pStyle w:val="ListParagraph"/>
        <w:numPr>
          <w:ilvl w:val="0"/>
          <w:numId w:val="2"/>
        </w:numPr>
        <w:spacing w:line="480" w:lineRule="auto"/>
        <w:ind w:left="0" w:firstLine="720"/>
        <w:jc w:val="both"/>
      </w:pPr>
      <w:r>
        <w:t>The Applicant’s Engineer</w:t>
      </w:r>
      <w:r w:rsidR="00AA1B4B">
        <w:t xml:space="preserve">, Jeffrey Martell, P.E., stated that </w:t>
      </w:r>
      <w:r w:rsidR="006F0669">
        <w:t xml:space="preserve">the </w:t>
      </w:r>
      <w:r w:rsidR="00AA1B4B">
        <w:t xml:space="preserve">Ocean County </w:t>
      </w:r>
      <w:r w:rsidR="006F0669">
        <w:t xml:space="preserve">Planning Board approval required </w:t>
      </w:r>
      <w:r w:rsidR="00AA1B4B">
        <w:t>an additional 3,346 square foot right-of-way dedication</w:t>
      </w:r>
      <w:r w:rsidR="007B12B0">
        <w:t xml:space="preserve">.  The </w:t>
      </w:r>
      <w:r w:rsidR="00AA1B4B">
        <w:t>lot size of th</w:t>
      </w:r>
      <w:r w:rsidR="007B12B0">
        <w:t>e Pr</w:t>
      </w:r>
      <w:r w:rsidR="00AA1B4B">
        <w:t>operty had therefore</w:t>
      </w:r>
      <w:r w:rsidR="000F2562">
        <w:t xml:space="preserve"> </w:t>
      </w:r>
      <w:r w:rsidR="00AA1B4B">
        <w:t xml:space="preserve">been reduced from 52,404 square foot to 49,058 square feet.  He </w:t>
      </w:r>
      <w:r w:rsidR="006F0669">
        <w:t xml:space="preserve">testified that </w:t>
      </w:r>
      <w:r w:rsidR="00AA1B4B">
        <w:t xml:space="preserve">the roadway dedication did not fundamentally change the uses approved by the Board for the Property in 2018.  Mr. Martell </w:t>
      </w:r>
      <w:r w:rsidR="007B12B0">
        <w:t xml:space="preserve">then </w:t>
      </w:r>
      <w:r w:rsidR="006F0669">
        <w:t xml:space="preserve">explained </w:t>
      </w:r>
      <w:r w:rsidR="00AA1B4B">
        <w:t>that the roadway reduction would impact the impervious coverage, the front yard setback for the parking and the proposed signage.</w:t>
      </w:r>
    </w:p>
    <w:p w:rsidR="00AA1B4B" w:rsidRDefault="00AA1B4B" w:rsidP="005D7D10">
      <w:pPr>
        <w:pStyle w:val="ListParagraph"/>
        <w:numPr>
          <w:ilvl w:val="0"/>
          <w:numId w:val="2"/>
        </w:numPr>
        <w:spacing w:line="480" w:lineRule="auto"/>
        <w:ind w:left="0" w:firstLine="720"/>
        <w:jc w:val="both"/>
      </w:pPr>
      <w:r>
        <w:t xml:space="preserve">Mr. Martell then </w:t>
      </w:r>
      <w:r w:rsidR="00292A99">
        <w:t xml:space="preserve">testified </w:t>
      </w:r>
      <w:r>
        <w:t>that the proposed southerly driveway off Lanes Mill Road w</w:t>
      </w:r>
      <w:r w:rsidR="00292A99">
        <w:t xml:space="preserve">ould be a </w:t>
      </w:r>
      <w:r>
        <w:t>20-f</w:t>
      </w:r>
      <w:r w:rsidR="00292A99">
        <w:t>eet</w:t>
      </w:r>
      <w:r>
        <w:t xml:space="preserve"> wide right-in/right-out accessway with a 20-foot </w:t>
      </w:r>
      <w:r w:rsidR="00C46F2C">
        <w:t xml:space="preserve">island median.   He stated that the setback for </w:t>
      </w:r>
      <w:r w:rsidR="00292A99">
        <w:t xml:space="preserve">the </w:t>
      </w:r>
      <w:r w:rsidR="00C46F2C">
        <w:t xml:space="preserve">fuel canopy would remain unchanged from the 2018 approval.  </w:t>
      </w:r>
    </w:p>
    <w:p w:rsidR="00767270" w:rsidRDefault="00C46F2C" w:rsidP="005D7D10">
      <w:pPr>
        <w:pStyle w:val="ListParagraph"/>
        <w:numPr>
          <w:ilvl w:val="0"/>
          <w:numId w:val="2"/>
        </w:numPr>
        <w:spacing w:line="480" w:lineRule="auto"/>
        <w:ind w:left="0" w:firstLine="720"/>
        <w:jc w:val="both"/>
      </w:pPr>
      <w:r>
        <w:lastRenderedPageBreak/>
        <w:t xml:space="preserve">Mr. Martell then reviewed the following changes </w:t>
      </w:r>
      <w:r w:rsidR="00292A99">
        <w:t xml:space="preserve">proposed in the </w:t>
      </w:r>
      <w:r>
        <w:t>instant application from the approval granted by the Board in 2018:</w:t>
      </w:r>
    </w:p>
    <w:p w:rsidR="00C46F2C" w:rsidRDefault="00C46F2C" w:rsidP="0024590C">
      <w:pPr>
        <w:pStyle w:val="ListParagraph"/>
        <w:numPr>
          <w:ilvl w:val="1"/>
          <w:numId w:val="2"/>
        </w:numPr>
        <w:jc w:val="both"/>
      </w:pPr>
      <w:r>
        <w:t>Minimum front yard setback (commercial/restaurant building).  The proposed front setback would be 32.1 feet where 41.</w:t>
      </w:r>
      <w:r w:rsidR="0024590C">
        <w:t>5</w:t>
      </w:r>
      <w:r w:rsidR="008230C6">
        <w:t>-</w:t>
      </w:r>
      <w:r w:rsidR="0024590C">
        <w:t xml:space="preserve">foot setback was approved in 2018 and a </w:t>
      </w:r>
      <w:r w:rsidR="00B30DF2">
        <w:t>50-foot</w:t>
      </w:r>
      <w:r w:rsidR="0024590C">
        <w:t xml:space="preserve"> setback is required;</w:t>
      </w:r>
    </w:p>
    <w:p w:rsidR="0024590C" w:rsidRDefault="0024590C" w:rsidP="0024590C">
      <w:pPr>
        <w:pStyle w:val="ListParagraph"/>
        <w:ind w:left="2160"/>
        <w:jc w:val="both"/>
      </w:pPr>
    </w:p>
    <w:p w:rsidR="0024590C" w:rsidRDefault="0024590C" w:rsidP="0024590C">
      <w:pPr>
        <w:pStyle w:val="ListParagraph"/>
        <w:numPr>
          <w:ilvl w:val="1"/>
          <w:numId w:val="2"/>
        </w:numPr>
        <w:jc w:val="both"/>
      </w:pPr>
      <w:r>
        <w:t>Minimum front yard setback (canopy) where a 35.4</w:t>
      </w:r>
      <w:r w:rsidR="008230C6">
        <w:t>-</w:t>
      </w:r>
      <w:r>
        <w:t>foot setback w</w:t>
      </w:r>
      <w:r w:rsidR="007B12B0">
        <w:t>as</w:t>
      </w:r>
      <w:r>
        <w:t xml:space="preserve"> now </w:t>
      </w:r>
      <w:r w:rsidR="008230C6">
        <w:t xml:space="preserve">proposed, and 39.4-foot setback was granted by the Board in 2018 where a 50-foot setback </w:t>
      </w:r>
      <w:r w:rsidR="007B12B0">
        <w:t>i</w:t>
      </w:r>
      <w:r w:rsidR="008230C6">
        <w:t>s required;</w:t>
      </w:r>
    </w:p>
    <w:p w:rsidR="008230C6" w:rsidRDefault="008230C6" w:rsidP="008230C6">
      <w:pPr>
        <w:pStyle w:val="ListParagraph"/>
      </w:pPr>
    </w:p>
    <w:p w:rsidR="008230C6" w:rsidRDefault="008230C6" w:rsidP="0024590C">
      <w:pPr>
        <w:pStyle w:val="ListParagraph"/>
        <w:numPr>
          <w:ilvl w:val="1"/>
          <w:numId w:val="2"/>
        </w:numPr>
        <w:jc w:val="both"/>
      </w:pPr>
      <w:r>
        <w:t xml:space="preserve">Maximum impervious coverage  where a 79.8% was approved by the Board in 2018 and the Applicant now proposes 83.2% </w:t>
      </w:r>
      <w:r w:rsidR="007B12B0">
        <w:t xml:space="preserve">and </w:t>
      </w:r>
      <w:r>
        <w:t xml:space="preserve">a maximum 65% impervious coverage is permitted; </w:t>
      </w:r>
    </w:p>
    <w:p w:rsidR="008230C6" w:rsidRDefault="008230C6" w:rsidP="008230C6">
      <w:pPr>
        <w:pStyle w:val="ListParagraph"/>
      </w:pPr>
    </w:p>
    <w:p w:rsidR="008230C6" w:rsidRDefault="008230C6" w:rsidP="0024590C">
      <w:pPr>
        <w:pStyle w:val="ListParagraph"/>
        <w:numPr>
          <w:ilvl w:val="1"/>
          <w:numId w:val="2"/>
        </w:numPr>
        <w:jc w:val="both"/>
      </w:pPr>
      <w:r>
        <w:t xml:space="preserve">Minimum parking area setback to Lanes Mill Road where 8 feet was approved by the Board in 2018 and a 0.5-foot setback was now </w:t>
      </w:r>
      <w:r w:rsidR="00B30DF2">
        <w:t>proposed,</w:t>
      </w:r>
      <w:r>
        <w:t xml:space="preserve"> </w:t>
      </w:r>
      <w:r w:rsidR="007B12B0">
        <w:t>and a</w:t>
      </w:r>
      <w:r>
        <w:t xml:space="preserve"> 20-foot setback </w:t>
      </w:r>
      <w:r w:rsidR="007B12B0">
        <w:t>i</w:t>
      </w:r>
      <w:r>
        <w:t>s required;</w:t>
      </w:r>
    </w:p>
    <w:p w:rsidR="008230C6" w:rsidRDefault="008230C6" w:rsidP="008230C6">
      <w:pPr>
        <w:pStyle w:val="ListParagraph"/>
      </w:pPr>
    </w:p>
    <w:p w:rsidR="008230C6" w:rsidRDefault="008230C6" w:rsidP="0024590C">
      <w:pPr>
        <w:pStyle w:val="ListParagraph"/>
        <w:numPr>
          <w:ilvl w:val="1"/>
          <w:numId w:val="2"/>
        </w:numPr>
        <w:jc w:val="both"/>
      </w:pPr>
      <w:r>
        <w:t xml:space="preserve">Parking area setback to Burnt Tavern Road where an 18-foot setback was approved by the Board in 2018 and an 11-foot setback </w:t>
      </w:r>
      <w:r w:rsidR="007B12B0">
        <w:t>was</w:t>
      </w:r>
      <w:r>
        <w:t xml:space="preserve"> now </w:t>
      </w:r>
      <w:r w:rsidR="00B30DF2">
        <w:t>proposed,</w:t>
      </w:r>
      <w:r>
        <w:t xml:space="preserve"> </w:t>
      </w:r>
      <w:r w:rsidR="007B12B0">
        <w:t>and</w:t>
      </w:r>
      <w:r>
        <w:t xml:space="preserve"> a 20-foot setback is required; and</w:t>
      </w:r>
    </w:p>
    <w:p w:rsidR="008230C6" w:rsidRDefault="008230C6" w:rsidP="008230C6">
      <w:pPr>
        <w:pStyle w:val="ListParagraph"/>
      </w:pPr>
    </w:p>
    <w:p w:rsidR="008230C6" w:rsidRDefault="008230C6" w:rsidP="0024590C">
      <w:pPr>
        <w:pStyle w:val="ListParagraph"/>
        <w:numPr>
          <w:ilvl w:val="1"/>
          <w:numId w:val="2"/>
        </w:numPr>
        <w:jc w:val="both"/>
      </w:pPr>
      <w:r>
        <w:t>Setback for a freestanding sign where a 7.6-foot setback was now proposed where a 10-foot setback is required, and a conforming 21-foot setback was proposed by the Applicant in 2018.</w:t>
      </w:r>
    </w:p>
    <w:p w:rsidR="008230C6" w:rsidRDefault="008230C6" w:rsidP="008230C6">
      <w:pPr>
        <w:pStyle w:val="ListParagraph"/>
      </w:pPr>
    </w:p>
    <w:p w:rsidR="008230C6" w:rsidRDefault="008230C6" w:rsidP="008230C6">
      <w:pPr>
        <w:pStyle w:val="ListParagraph"/>
        <w:ind w:left="2160"/>
        <w:jc w:val="both"/>
      </w:pPr>
    </w:p>
    <w:p w:rsidR="00C406CB" w:rsidRDefault="00C406CB" w:rsidP="005546A8">
      <w:pPr>
        <w:pStyle w:val="ListParagraph"/>
        <w:numPr>
          <w:ilvl w:val="0"/>
          <w:numId w:val="2"/>
        </w:numPr>
        <w:spacing w:line="480" w:lineRule="auto"/>
        <w:ind w:left="0" w:firstLine="720"/>
        <w:jc w:val="both"/>
      </w:pPr>
      <w:r>
        <w:t xml:space="preserve"> </w:t>
      </w:r>
      <w:r w:rsidR="008230C6">
        <w:t>The Board’s Planner, Tara Paxton, P.P., AICP,  testified that the Applicant</w:t>
      </w:r>
      <w:r w:rsidR="007900B1">
        <w:t xml:space="preserve"> had satisfied </w:t>
      </w:r>
      <w:r w:rsidR="008230C6">
        <w:t xml:space="preserve">all </w:t>
      </w:r>
      <w:r w:rsidR="007900B1">
        <w:t xml:space="preserve">conditions </w:t>
      </w:r>
      <w:r w:rsidR="004A2E57">
        <w:t xml:space="preserve">contained in </w:t>
      </w:r>
      <w:r w:rsidR="008230C6">
        <w:t xml:space="preserve">the 2018 </w:t>
      </w:r>
      <w:r w:rsidR="004A2E57">
        <w:t xml:space="preserve">Resolution </w:t>
      </w:r>
      <w:r w:rsidR="008230C6">
        <w:t xml:space="preserve">with the exception of the right-of-way dedication required by Ocean County </w:t>
      </w:r>
      <w:r w:rsidR="007900B1">
        <w:t>Planning Board</w:t>
      </w:r>
      <w:r w:rsidR="008230C6">
        <w:t>.</w:t>
      </w:r>
    </w:p>
    <w:p w:rsidR="0052452B" w:rsidRDefault="008230C6" w:rsidP="005546A8">
      <w:pPr>
        <w:pStyle w:val="ListParagraph"/>
        <w:numPr>
          <w:ilvl w:val="0"/>
          <w:numId w:val="2"/>
        </w:numPr>
        <w:spacing w:line="480" w:lineRule="auto"/>
        <w:ind w:left="0" w:firstLine="720"/>
        <w:jc w:val="both"/>
      </w:pPr>
      <w:r>
        <w:t xml:space="preserve">The Applicant’s </w:t>
      </w:r>
      <w:r w:rsidR="0052452B">
        <w:t xml:space="preserve">Planner, Justin  Auciello, P.P., AICP, testified that the Property is located in the B-2 (General Business) Zone.  He </w:t>
      </w:r>
      <w:r w:rsidR="007900B1">
        <w:t xml:space="preserve">explained </w:t>
      </w:r>
      <w:r w:rsidR="0052452B">
        <w:t xml:space="preserve">that the Applicant </w:t>
      </w:r>
      <w:r w:rsidR="007900B1">
        <w:t xml:space="preserve">was </w:t>
      </w:r>
      <w:r w:rsidR="0052452B">
        <w:t>seek</w:t>
      </w:r>
      <w:r w:rsidR="007900B1">
        <w:t>ing</w:t>
      </w:r>
      <w:r w:rsidR="0052452B">
        <w:t xml:space="preserve"> d(1) use variance relief </w:t>
      </w:r>
      <w:r w:rsidR="007900B1">
        <w:t xml:space="preserve">to permit </w:t>
      </w:r>
      <w:r w:rsidR="0052452B">
        <w:t>the expansion of the existing gas filling station because gas filling station</w:t>
      </w:r>
      <w:r w:rsidR="00D5287A">
        <w:t>s</w:t>
      </w:r>
      <w:r w:rsidR="0052452B">
        <w:t xml:space="preserve"> </w:t>
      </w:r>
      <w:r w:rsidR="00D5287A">
        <w:lastRenderedPageBreak/>
        <w:t xml:space="preserve">are </w:t>
      </w:r>
      <w:r w:rsidR="0052452B">
        <w:t>not permitted</w:t>
      </w:r>
      <w:r w:rsidR="00D5287A">
        <w:t xml:space="preserve"> uses </w:t>
      </w:r>
      <w:r w:rsidR="0052452B">
        <w:t xml:space="preserve"> in the B-2 Zone</w:t>
      </w:r>
      <w:r w:rsidR="00D5287A">
        <w:t>.  He stated, however, that al</w:t>
      </w:r>
      <w:r w:rsidR="0052452B">
        <w:t>l proposed retail and restaurant uses are permitted</w:t>
      </w:r>
      <w:r w:rsidR="00D5287A">
        <w:t xml:space="preserve"> in the Zone.</w:t>
      </w:r>
    </w:p>
    <w:p w:rsidR="00895D8A" w:rsidRDefault="00D04D9F" w:rsidP="00AE2D7F">
      <w:pPr>
        <w:pStyle w:val="ListParagraph"/>
        <w:numPr>
          <w:ilvl w:val="0"/>
          <w:numId w:val="2"/>
        </w:numPr>
        <w:spacing w:line="480" w:lineRule="auto"/>
        <w:ind w:left="0" w:firstLine="720"/>
        <w:jc w:val="both"/>
      </w:pPr>
      <w:r>
        <w:t>Mr. Auciello</w:t>
      </w:r>
      <w:r w:rsidR="009C272C">
        <w:t xml:space="preserve"> </w:t>
      </w:r>
      <w:r w:rsidR="00D5287A">
        <w:t xml:space="preserve">then </w:t>
      </w:r>
      <w:r w:rsidR="009C272C">
        <w:t xml:space="preserve">testified that the </w:t>
      </w:r>
      <w:r w:rsidR="00D5287A">
        <w:t xml:space="preserve">Property </w:t>
      </w:r>
      <w:r w:rsidR="009C272C">
        <w:t>is particularly suited for the</w:t>
      </w:r>
      <w:r w:rsidR="00655213">
        <w:t xml:space="preserve"> proposed uses because it </w:t>
      </w:r>
      <w:r w:rsidR="009C272C">
        <w:t xml:space="preserve">is located 100 feet from the entrance to the Garden State Parkway, which borders the rear of the </w:t>
      </w:r>
      <w:r w:rsidR="00D5287A">
        <w:t>P</w:t>
      </w:r>
      <w:r w:rsidR="009C272C">
        <w:t>roperty, and the benefits of the proposed uses far outweigh the detriments.</w:t>
      </w:r>
      <w:r w:rsidR="007B12B0">
        <w:t xml:space="preserve"> H</w:t>
      </w:r>
      <w:r w:rsidR="00F149DD">
        <w:t xml:space="preserve">e added that the Township Master Plan supports an increase in the intensity of commercial development on existing commercial sites as opposed to new commercial development in new areas. </w:t>
      </w:r>
      <w:r w:rsidR="00680D90">
        <w:t>H</w:t>
      </w:r>
      <w:r w:rsidR="009C272C">
        <w:t xml:space="preserve">e </w:t>
      </w:r>
      <w:r w:rsidR="007B0FE7">
        <w:t>stated</w:t>
      </w:r>
      <w:r w:rsidR="009C272C">
        <w:t xml:space="preserve"> that the improvements will have no negative impact on </w:t>
      </w:r>
      <w:r w:rsidR="004C60A9">
        <w:t>the zone plan or zoning ordinance.</w:t>
      </w:r>
      <w:r w:rsidR="00606C38">
        <w:t xml:space="preserve"> </w:t>
      </w:r>
    </w:p>
    <w:p w:rsidR="00AE2D7F" w:rsidRDefault="00D04D9F" w:rsidP="004C60A9">
      <w:pPr>
        <w:pStyle w:val="ListParagraph"/>
        <w:numPr>
          <w:ilvl w:val="0"/>
          <w:numId w:val="2"/>
        </w:numPr>
        <w:spacing w:line="480" w:lineRule="auto"/>
        <w:ind w:left="0" w:firstLine="720"/>
        <w:jc w:val="both"/>
      </w:pPr>
      <w:r>
        <w:t>Mr. Auciello</w:t>
      </w:r>
      <w:r w:rsidR="00606C38">
        <w:t xml:space="preserve"> noted that the </w:t>
      </w:r>
      <w:r w:rsidR="005A0F52">
        <w:t xml:space="preserve">total </w:t>
      </w:r>
      <w:r w:rsidR="004C60A9">
        <w:t>area of the four (4) proposed signs i</w:t>
      </w:r>
      <w:r w:rsidR="00873B02">
        <w:t>s</w:t>
      </w:r>
      <w:r w:rsidR="004C60A9">
        <w:t xml:space="preserve"> 115 square feet where a maximum 298 square feet is permitted and </w:t>
      </w:r>
      <w:r w:rsidR="004A2E57">
        <w:t xml:space="preserve">that </w:t>
      </w:r>
      <w:r w:rsidR="004C60A9">
        <w:t>the signs, which provide instruction for motorists, are small when compared to the scale of the proposed QSR/convenience store.</w:t>
      </w:r>
      <w:r w:rsidR="00606C38">
        <w:t xml:space="preserve">  </w:t>
      </w:r>
    </w:p>
    <w:p w:rsidR="00606C38" w:rsidRDefault="00D04D9F" w:rsidP="00AE2D7F">
      <w:pPr>
        <w:pStyle w:val="ListParagraph"/>
        <w:numPr>
          <w:ilvl w:val="0"/>
          <w:numId w:val="2"/>
        </w:numPr>
        <w:spacing w:line="480" w:lineRule="auto"/>
        <w:ind w:left="0" w:firstLine="720"/>
        <w:jc w:val="both"/>
      </w:pPr>
      <w:r>
        <w:t>Mr. Auciello</w:t>
      </w:r>
      <w:r w:rsidR="00606C38">
        <w:t xml:space="preserve"> </w:t>
      </w:r>
      <w:r w:rsidR="00D372C2">
        <w:t xml:space="preserve">then </w:t>
      </w:r>
      <w:r w:rsidR="00606C38">
        <w:t>testified th</w:t>
      </w:r>
      <w:r w:rsidR="00621057">
        <w:t xml:space="preserve">at the </w:t>
      </w:r>
      <w:r w:rsidR="00D5287A">
        <w:t xml:space="preserve">Applicant satisfied the positive criteria because the proposed development </w:t>
      </w:r>
      <w:r w:rsidR="00AE0ECB">
        <w:t>would a</w:t>
      </w:r>
      <w:r w:rsidR="00621057">
        <w:t xml:space="preserve">dvance four (4) </w:t>
      </w:r>
      <w:r w:rsidR="00606C38">
        <w:t xml:space="preserve">purposes of the </w:t>
      </w:r>
      <w:r w:rsidR="00606C38" w:rsidRPr="00606C38">
        <w:rPr>
          <w:u w:val="single"/>
        </w:rPr>
        <w:t>Municipal Land Use Law</w:t>
      </w:r>
      <w:r w:rsidR="00606C38">
        <w:t xml:space="preserve"> pursuant to </w:t>
      </w:r>
      <w:r w:rsidR="00606C38" w:rsidRPr="00606C38">
        <w:rPr>
          <w:u w:val="single"/>
        </w:rPr>
        <w:t>N.J.S.A.</w:t>
      </w:r>
      <w:r w:rsidR="00606C38">
        <w:t xml:space="preserve"> 40:55D-2</w:t>
      </w:r>
      <w:r w:rsidR="00495671">
        <w:t xml:space="preserve">. </w:t>
      </w:r>
      <w:r w:rsidR="00606C38">
        <w:t xml:space="preserve"> Specifically, </w:t>
      </w:r>
      <w:r>
        <w:t>Mr. Auciello</w:t>
      </w:r>
      <w:r w:rsidR="00606C38">
        <w:t xml:space="preserve"> state</w:t>
      </w:r>
      <w:r w:rsidR="004C60A9">
        <w:t>d the application</w:t>
      </w:r>
      <w:r w:rsidR="00AE0ECB">
        <w:t xml:space="preserve"> would</w:t>
      </w:r>
      <w:r w:rsidR="004C60A9">
        <w:t xml:space="preserve"> </w:t>
      </w:r>
      <w:r w:rsidR="00606C38">
        <w:t xml:space="preserve"> promote the general welfare of the Township </w:t>
      </w:r>
      <w:r w:rsidR="00495671">
        <w:t xml:space="preserve">because </w:t>
      </w:r>
      <w:r w:rsidR="00606C38">
        <w:t xml:space="preserve">it will </w:t>
      </w:r>
      <w:r w:rsidR="00476771">
        <w:t>improve</w:t>
      </w:r>
      <w:r w:rsidR="00606C38">
        <w:t xml:space="preserve"> the commercial development on </w:t>
      </w:r>
      <w:r w:rsidR="00476771">
        <w:t xml:space="preserve">Lanes Mill Road and Burnt Tavern </w:t>
      </w:r>
      <w:r w:rsidR="005A0F52">
        <w:t>Road</w:t>
      </w:r>
      <w:r w:rsidR="00476771">
        <w:t xml:space="preserve"> in accordance with </w:t>
      </w:r>
      <w:r w:rsidR="00476771">
        <w:rPr>
          <w:u w:val="single"/>
        </w:rPr>
        <w:t>N.J.S.A.</w:t>
      </w:r>
      <w:r w:rsidR="00476771">
        <w:t xml:space="preserve"> 40:55D-2a</w:t>
      </w:r>
      <w:r w:rsidR="00606C38">
        <w:t xml:space="preserve">.  </w:t>
      </w:r>
      <w:r>
        <w:t>Mr. Auciello</w:t>
      </w:r>
      <w:r w:rsidR="00606C38">
        <w:t xml:space="preserve"> further testified that</w:t>
      </w:r>
      <w:r w:rsidR="00476771">
        <w:t xml:space="preserve"> </w:t>
      </w:r>
      <w:r w:rsidR="00476771" w:rsidRPr="00476771">
        <w:rPr>
          <w:u w:val="single"/>
        </w:rPr>
        <w:t>N.J.S.A.</w:t>
      </w:r>
      <w:r w:rsidR="00476771" w:rsidRPr="00476771">
        <w:t xml:space="preserve"> </w:t>
      </w:r>
      <w:r w:rsidR="00476771">
        <w:t>40:55D-2</w:t>
      </w:r>
      <w:r w:rsidR="00606C38">
        <w:t xml:space="preserve">g </w:t>
      </w:r>
      <w:r w:rsidR="00495671">
        <w:t xml:space="preserve">would be advanced because </w:t>
      </w:r>
      <w:r w:rsidR="00606C38">
        <w:t xml:space="preserve">the project </w:t>
      </w:r>
      <w:r w:rsidR="00495671">
        <w:t xml:space="preserve">would </w:t>
      </w:r>
      <w:r w:rsidR="00606C38">
        <w:t>provide sufficie</w:t>
      </w:r>
      <w:r w:rsidR="00476771">
        <w:t>nt space for a variety of uses</w:t>
      </w:r>
      <w:r w:rsidR="00495671">
        <w:t xml:space="preserve">.  He also asserted that </w:t>
      </w:r>
      <w:r w:rsidR="00476771" w:rsidRPr="00476771">
        <w:rPr>
          <w:u w:val="single"/>
        </w:rPr>
        <w:t>N.J.S.A.</w:t>
      </w:r>
      <w:r w:rsidR="00476771" w:rsidRPr="00476771">
        <w:t xml:space="preserve"> </w:t>
      </w:r>
      <w:r w:rsidR="00476771">
        <w:t>40:55D-2</w:t>
      </w:r>
      <w:r w:rsidR="009A04EC">
        <w:t>h</w:t>
      </w:r>
      <w:r w:rsidR="00F64D3E">
        <w:t xml:space="preserve"> </w:t>
      </w:r>
      <w:r w:rsidR="00232A51">
        <w:t>would be advanced</w:t>
      </w:r>
      <w:r w:rsidR="00495671">
        <w:t xml:space="preserve"> because </w:t>
      </w:r>
      <w:r w:rsidR="00F64D3E">
        <w:t xml:space="preserve">the Applicant proposes </w:t>
      </w:r>
      <w:r w:rsidR="004C60A9">
        <w:t>separate right-in/right-out access areas</w:t>
      </w:r>
      <w:r w:rsidR="00ED021D">
        <w:t xml:space="preserve"> to </w:t>
      </w:r>
      <w:r w:rsidR="004C60A9">
        <w:t xml:space="preserve">channel traffic to and from the site and </w:t>
      </w:r>
      <w:r w:rsidR="00476771">
        <w:t>avoid additional traffic on Lanes Mill Road</w:t>
      </w:r>
      <w:r w:rsidR="00ED021D">
        <w:t xml:space="preserve">. </w:t>
      </w:r>
      <w:r w:rsidR="002A0117">
        <w:t xml:space="preserve"> </w:t>
      </w:r>
      <w:r w:rsidR="0087273F">
        <w:t>H</w:t>
      </w:r>
      <w:r w:rsidR="00476771">
        <w:t xml:space="preserve">e added that </w:t>
      </w:r>
      <w:r w:rsidR="00476771" w:rsidRPr="00476771">
        <w:rPr>
          <w:u w:val="single"/>
        </w:rPr>
        <w:t>N.J.S.A.</w:t>
      </w:r>
      <w:r w:rsidR="00476771" w:rsidRPr="00476771">
        <w:t xml:space="preserve"> 40:55D-2</w:t>
      </w:r>
      <w:r w:rsidR="00476771">
        <w:t xml:space="preserve">i </w:t>
      </w:r>
      <w:r w:rsidR="00620EA2">
        <w:t xml:space="preserve">would </w:t>
      </w:r>
      <w:r w:rsidR="00476771">
        <w:t xml:space="preserve"> </w:t>
      </w:r>
      <w:r w:rsidR="0087273F">
        <w:lastRenderedPageBreak/>
        <w:t>also</w:t>
      </w:r>
      <w:r w:rsidR="00620EA2">
        <w:t xml:space="preserve"> be</w:t>
      </w:r>
      <w:r w:rsidR="0087273F">
        <w:t xml:space="preserve"> </w:t>
      </w:r>
      <w:r w:rsidR="00476771">
        <w:t xml:space="preserve">advanced </w:t>
      </w:r>
      <w:r w:rsidR="0087273F">
        <w:t>because</w:t>
      </w:r>
      <w:r w:rsidR="00476771">
        <w:t xml:space="preserve"> the improvements will </w:t>
      </w:r>
      <w:r w:rsidR="00DF4742">
        <w:t xml:space="preserve">upgrade the existing site and </w:t>
      </w:r>
      <w:r w:rsidR="00476771">
        <w:t xml:space="preserve">improve the aesthetics of the </w:t>
      </w:r>
      <w:r w:rsidR="00C72291">
        <w:t>P</w:t>
      </w:r>
      <w:r w:rsidR="00476771">
        <w:t xml:space="preserve">roperty. </w:t>
      </w:r>
      <w:r w:rsidR="00ED021D">
        <w:t xml:space="preserve"> Finally, </w:t>
      </w:r>
      <w:r>
        <w:t>Mr. Auciello</w:t>
      </w:r>
      <w:r w:rsidR="00ED021D">
        <w:t xml:space="preserve"> stated that</w:t>
      </w:r>
      <w:r w:rsidR="005503E5">
        <w:t xml:space="preserve"> </w:t>
      </w:r>
      <w:r w:rsidR="00476771" w:rsidRPr="00476771">
        <w:rPr>
          <w:u w:val="single"/>
        </w:rPr>
        <w:t>N.J.S.A.</w:t>
      </w:r>
      <w:r w:rsidR="00476771" w:rsidRPr="00476771">
        <w:t xml:space="preserve"> </w:t>
      </w:r>
      <w:r w:rsidR="00476771">
        <w:t>40:55D-2</w:t>
      </w:r>
      <w:r w:rsidR="00ED021D">
        <w:t xml:space="preserve">m </w:t>
      </w:r>
      <w:r w:rsidR="0087273F">
        <w:t xml:space="preserve"> would be</w:t>
      </w:r>
      <w:r w:rsidR="00476771">
        <w:t xml:space="preserve"> advanced because t</w:t>
      </w:r>
      <w:r w:rsidR="00ED021D">
        <w:t xml:space="preserve">he </w:t>
      </w:r>
      <w:r w:rsidR="0087273F">
        <w:t>proposed development would e</w:t>
      </w:r>
      <w:r w:rsidR="00ED021D">
        <w:t xml:space="preserve">ncourage the efficient use of the land by </w:t>
      </w:r>
      <w:r w:rsidR="00476771">
        <w:t>improving</w:t>
      </w:r>
      <w:r w:rsidR="00ED021D">
        <w:t xml:space="preserve"> commercial development</w:t>
      </w:r>
      <w:r w:rsidR="00476771">
        <w:t xml:space="preserve"> on Lanes Mill Road</w:t>
      </w:r>
      <w:r w:rsidR="00ED021D">
        <w:t xml:space="preserve">. </w:t>
      </w:r>
    </w:p>
    <w:p w:rsidR="00ED021D" w:rsidRDefault="00D04D9F" w:rsidP="00AE2D7F">
      <w:pPr>
        <w:pStyle w:val="ListParagraph"/>
        <w:numPr>
          <w:ilvl w:val="0"/>
          <w:numId w:val="2"/>
        </w:numPr>
        <w:spacing w:line="480" w:lineRule="auto"/>
        <w:ind w:left="0" w:firstLine="720"/>
        <w:jc w:val="both"/>
      </w:pPr>
      <w:r>
        <w:t>Mr. Auciello</w:t>
      </w:r>
      <w:r w:rsidR="00ED021D">
        <w:t xml:space="preserve"> </w:t>
      </w:r>
      <w:r w:rsidR="0087273F">
        <w:t xml:space="preserve">then </w:t>
      </w:r>
      <w:r w:rsidR="00ED021D">
        <w:t xml:space="preserve">testified that the </w:t>
      </w:r>
      <w:r w:rsidR="0087273F">
        <w:t xml:space="preserve">Applicant had satisfied the negative criteria because the proposed development would </w:t>
      </w:r>
      <w:r w:rsidR="00ED021D">
        <w:t xml:space="preserve">not be a substantial detriment to the zone plan because the existing </w:t>
      </w:r>
      <w:r w:rsidR="00476771">
        <w:t xml:space="preserve">B-2 </w:t>
      </w:r>
      <w:r w:rsidR="00ED021D">
        <w:t xml:space="preserve">Zone </w:t>
      </w:r>
      <w:r w:rsidR="00476771">
        <w:t>permits a</w:t>
      </w:r>
      <w:r w:rsidR="00DF4742">
        <w:t xml:space="preserve"> broad</w:t>
      </w:r>
      <w:r w:rsidR="00476771">
        <w:t xml:space="preserve"> variety of smaller retail uses</w:t>
      </w:r>
      <w:r w:rsidR="00ED021D">
        <w:t xml:space="preserve"> </w:t>
      </w:r>
      <w:r w:rsidR="00DF4742">
        <w:t xml:space="preserve">and the proposed gas station use on a site adjacent to the entrance of the Garden State Parkway </w:t>
      </w:r>
      <w:r w:rsidR="005A0F52">
        <w:t xml:space="preserve">is similar to those proposed uses and </w:t>
      </w:r>
      <w:r w:rsidR="00DF4742">
        <w:t xml:space="preserve">will not have a negative impact on the neighborhood. </w:t>
      </w:r>
      <w:r w:rsidR="00ED021D">
        <w:t xml:space="preserve"> Therefore, the proposed </w:t>
      </w:r>
      <w:r w:rsidR="00DF4742">
        <w:t xml:space="preserve">gasoline station </w:t>
      </w:r>
      <w:r w:rsidR="00ED021D">
        <w:t xml:space="preserve">use for the </w:t>
      </w:r>
      <w:r w:rsidR="00DF4742">
        <w:t>B-2</w:t>
      </w:r>
      <w:r w:rsidR="00ED021D">
        <w:t xml:space="preserve"> Zone presents no substantial detriment to the zone plan or the Township’s Land Use Ordinance. </w:t>
      </w:r>
    </w:p>
    <w:p w:rsidR="00DF4742" w:rsidRDefault="00D04D9F" w:rsidP="00D17EE2">
      <w:pPr>
        <w:pStyle w:val="ListParagraph"/>
        <w:numPr>
          <w:ilvl w:val="0"/>
          <w:numId w:val="2"/>
        </w:numPr>
        <w:spacing w:line="480" w:lineRule="auto"/>
        <w:ind w:left="0" w:firstLine="720"/>
        <w:jc w:val="both"/>
      </w:pPr>
      <w:r>
        <w:t>Mr. Auciello</w:t>
      </w:r>
      <w:r w:rsidR="00D17EE2">
        <w:t xml:space="preserve"> </w:t>
      </w:r>
      <w:r w:rsidR="0087273F">
        <w:t xml:space="preserve">concluded </w:t>
      </w:r>
      <w:r w:rsidR="00D17EE2">
        <w:t>that the benefits of the project outweigh any detriments and those detriments would have to be substantial to prevent the Applicant from obtaining use variance relief.</w:t>
      </w:r>
    </w:p>
    <w:p w:rsidR="00EE276A" w:rsidRDefault="00DF4742" w:rsidP="00D17EE2">
      <w:pPr>
        <w:pStyle w:val="ListParagraph"/>
        <w:numPr>
          <w:ilvl w:val="0"/>
          <w:numId w:val="2"/>
        </w:numPr>
        <w:spacing w:line="480" w:lineRule="auto"/>
        <w:ind w:left="0" w:firstLine="720"/>
        <w:jc w:val="both"/>
      </w:pPr>
      <w:r>
        <w:t>There were no members of the public expressing an interest in this application.</w:t>
      </w:r>
      <w:r w:rsidR="00D17EE2">
        <w:t xml:space="preserve">  </w:t>
      </w:r>
    </w:p>
    <w:p w:rsidR="00A762B4" w:rsidRPr="000163EB" w:rsidRDefault="00AC2D30" w:rsidP="000163EB">
      <w:pPr>
        <w:spacing w:line="480" w:lineRule="auto"/>
        <w:ind w:firstLine="720"/>
        <w:jc w:val="both"/>
      </w:pPr>
      <w:r w:rsidRPr="00D04D9F">
        <w:rPr>
          <w:b/>
        </w:rPr>
        <w:t>NOW, THEREFORE</w:t>
      </w:r>
      <w:r>
        <w:t>, the Board makes the following conclusions of law based upon the foregoing findings of fact:</w:t>
      </w:r>
    </w:p>
    <w:p w:rsidR="00AC2D30" w:rsidRDefault="00AC2D30" w:rsidP="00E32F88">
      <w:pPr>
        <w:pStyle w:val="ListParagraph"/>
        <w:numPr>
          <w:ilvl w:val="0"/>
          <w:numId w:val="11"/>
        </w:numPr>
        <w:spacing w:line="480" w:lineRule="auto"/>
        <w:ind w:left="0" w:firstLine="720"/>
        <w:jc w:val="both"/>
      </w:pPr>
      <w:r>
        <w:t>T</w:t>
      </w:r>
      <w:r w:rsidR="00A762B4">
        <w:t xml:space="preserve">he Applicant has requested </w:t>
      </w:r>
      <w:r>
        <w:t>use variance</w:t>
      </w:r>
      <w:r w:rsidR="00DF4742">
        <w:t xml:space="preserve"> relief</w:t>
      </w:r>
      <w:r w:rsidR="00A762B4">
        <w:t xml:space="preserve"> pursuant to </w:t>
      </w:r>
      <w:r w:rsidR="00A762B4">
        <w:rPr>
          <w:u w:val="single"/>
        </w:rPr>
        <w:t>N.J.S.A.</w:t>
      </w:r>
      <w:r w:rsidR="00A762B4">
        <w:t xml:space="preserve"> 40:55D-70d(1) </w:t>
      </w:r>
      <w:r>
        <w:t xml:space="preserve">to permit the </w:t>
      </w:r>
      <w:r w:rsidR="00526F19">
        <w:t>P</w:t>
      </w:r>
      <w:r>
        <w:t xml:space="preserve">roperty to  </w:t>
      </w:r>
      <w:r w:rsidR="00E84C3F">
        <w:t xml:space="preserve">contain </w:t>
      </w:r>
      <w:r>
        <w:t xml:space="preserve"> a </w:t>
      </w:r>
      <w:r w:rsidR="00DF4742">
        <w:t xml:space="preserve">gas station, </w:t>
      </w:r>
      <w:r w:rsidR="00391230">
        <w:t>convenience store and</w:t>
      </w:r>
      <w:r w:rsidR="00E84C3F">
        <w:t xml:space="preserve"> </w:t>
      </w:r>
      <w:r w:rsidR="00DF4742">
        <w:t xml:space="preserve">fast food </w:t>
      </w:r>
      <w:r w:rsidR="00E84C3F">
        <w:t>restaurant in the B-</w:t>
      </w:r>
      <w:r w:rsidR="00DF4742">
        <w:t>2</w:t>
      </w:r>
      <w:r w:rsidR="00E84C3F">
        <w:t xml:space="preserve"> Zone</w:t>
      </w:r>
      <w:r w:rsidR="00DF4742">
        <w:t>.</w:t>
      </w:r>
      <w:r>
        <w:t xml:space="preserve"> </w:t>
      </w:r>
      <w:r w:rsidR="000163EB">
        <w:t xml:space="preserve">While the convenience store and fast food restaurant are permitted uses within the B-2 </w:t>
      </w:r>
      <w:r w:rsidR="000163EB">
        <w:lastRenderedPageBreak/>
        <w:t>Zone, they will be located alongside the prohibited gas station and must therefore be considered as part of the request for use variance relief.</w:t>
      </w:r>
    </w:p>
    <w:p w:rsidR="00242FD8" w:rsidRDefault="00242FD8" w:rsidP="00E32F88">
      <w:pPr>
        <w:pStyle w:val="ListParagraph"/>
        <w:numPr>
          <w:ilvl w:val="0"/>
          <w:numId w:val="11"/>
        </w:numPr>
        <w:spacing w:line="480" w:lineRule="auto"/>
        <w:ind w:left="0" w:firstLine="720"/>
        <w:jc w:val="both"/>
      </w:pPr>
      <w:r>
        <w:t xml:space="preserve">Under the </w:t>
      </w:r>
      <w:r w:rsidRPr="00D04D9F">
        <w:rPr>
          <w:u w:val="single"/>
        </w:rPr>
        <w:t>Municipal Land Use Law</w:t>
      </w:r>
      <w:r>
        <w:t>, a Board of Adjustment, when considering a “d” variance, cannot grant relief unless sufficient special reasons are shown and there is no substantial impairment of the intent and purpose of the zone scheme and Zoning Ordinance.  In addition, the burden of proof is upon the applicant to establish the above criteria.  It is the Board’s responsibility, acting in a quasi-judicial manner, to weigh all the evidence presented before it by both the applicant and all objectors, and reach a decision which is based upon findings of fact and conclusions of law and is not arbitrary, unreasonable or capricious.</w:t>
      </w:r>
    </w:p>
    <w:p w:rsidR="00242FD8" w:rsidRDefault="00242FD8" w:rsidP="00E32F88">
      <w:pPr>
        <w:pStyle w:val="ListParagraph"/>
        <w:numPr>
          <w:ilvl w:val="0"/>
          <w:numId w:val="11"/>
        </w:numPr>
        <w:spacing w:line="480" w:lineRule="auto"/>
        <w:ind w:left="0" w:firstLine="720"/>
        <w:jc w:val="both"/>
      </w:pPr>
      <w:r>
        <w:t xml:space="preserve">The New Jersey Courts have been willing to accept a showing of extreme hardship as sufficient to constitute a special reason.  The courts have indicated that there is no precise formula as to what constitutes special reasons unless the use is determined to be inherently beneficial, and that each case must be heard on its own circumstances.  Yet, for the most part, hardship is usually an insufficient criteria upon which the Board can grant a variance.  In addition, special reasons have been found where a variance would serve any of the purposes of zoning as set forth in </w:t>
      </w:r>
      <w:r w:rsidRPr="00242FD8">
        <w:rPr>
          <w:u w:val="single"/>
        </w:rPr>
        <w:t>N.J.S.A.</w:t>
      </w:r>
      <w:r>
        <w:t xml:space="preserve"> 40:55D-2.  </w:t>
      </w:r>
    </w:p>
    <w:p w:rsidR="00242FD8" w:rsidRDefault="00242FD8" w:rsidP="00E32F88">
      <w:pPr>
        <w:pStyle w:val="ListParagraph"/>
        <w:numPr>
          <w:ilvl w:val="0"/>
          <w:numId w:val="11"/>
        </w:numPr>
        <w:spacing w:line="480" w:lineRule="auto"/>
        <w:ind w:left="0" w:firstLine="720"/>
        <w:jc w:val="both"/>
      </w:pPr>
      <w:r>
        <w:t xml:space="preserve">However, in the last analysis, a variance should only be granted if the Board, on the basis of the evidence presented before it, feels that the public interest, as distinguished from the purely private interests of the applicant, would be best served by permitting the proposed use.  In these instances, the Board must also find that the granting of the variance will not create an undue burden on the owners of the surrounding properties.  The Board also notes the special reasons </w:t>
      </w:r>
      <w:r>
        <w:lastRenderedPageBreak/>
        <w:t>requirement may be satisfied if the applicant can show that the proposed use is peculiarly suited to the particular piece of property.  With regard to the question of public good, the Board’s focus is on the variance’s effect on the surrounding properties and whether such effect will be substantial.  Furthermore, in most “d” variance cases, the applicant must satisfy an enhanced quality of proof and support it by clear and specific findings by this Board that the variance sought is not inconsistent with the intent and purpose of the Master Plan and Zoning Ordinance.  The burden of proof is upon the applicant to establish the above criteria.</w:t>
      </w:r>
    </w:p>
    <w:p w:rsidR="00594DC1" w:rsidRDefault="00655213" w:rsidP="008B0169">
      <w:pPr>
        <w:pStyle w:val="ListParagraph"/>
        <w:numPr>
          <w:ilvl w:val="0"/>
          <w:numId w:val="11"/>
        </w:numPr>
        <w:spacing w:line="480" w:lineRule="auto"/>
        <w:ind w:left="0" w:firstLine="720"/>
        <w:jc w:val="both"/>
      </w:pPr>
      <w:r>
        <w:t>The Board finds the Applicant satisfies the positive criteri</w:t>
      </w:r>
      <w:r w:rsidR="0087273F">
        <w:t xml:space="preserve">a. </w:t>
      </w:r>
      <w:r w:rsidR="0087273F" w:rsidRPr="00594DC1">
        <w:t xml:space="preserve">The Applicant </w:t>
      </w:r>
      <w:r w:rsidR="0087273F">
        <w:t xml:space="preserve">was  </w:t>
      </w:r>
      <w:r w:rsidR="00271375">
        <w:t xml:space="preserve">previously </w:t>
      </w:r>
      <w:r w:rsidR="0087273F">
        <w:t xml:space="preserve">granted use </w:t>
      </w:r>
      <w:r w:rsidR="0087273F" w:rsidRPr="00594DC1">
        <w:t xml:space="preserve">variance relief </w:t>
      </w:r>
      <w:r w:rsidR="0087273F">
        <w:t>and preliminary and final site plan approval by the Board on February 7, 2018 (Application No. BA-3028-PSP/FSP-C-D-3/17) subject to  conditions enumerated in the approving Resolution, which was memorialized on April 18, 2018.  The Board finds that its</w:t>
      </w:r>
      <w:r w:rsidR="003D597D">
        <w:t xml:space="preserve"> findings of fact and conclusions of law </w:t>
      </w:r>
      <w:r w:rsidR="0087273F">
        <w:t xml:space="preserve">for the 2018 approval remain </w:t>
      </w:r>
      <w:r w:rsidR="003D597D">
        <w:t xml:space="preserve">unchanged.  </w:t>
      </w:r>
      <w:r w:rsidR="0087273F">
        <w:t>T</w:t>
      </w:r>
      <w:r w:rsidR="00594DC1" w:rsidRPr="00594DC1">
        <w:t xml:space="preserve">he Board </w:t>
      </w:r>
      <w:r w:rsidR="003D597D">
        <w:t xml:space="preserve">continues to </w:t>
      </w:r>
      <w:r w:rsidR="00594DC1" w:rsidRPr="00594DC1">
        <w:t xml:space="preserve">find that pursuant to </w:t>
      </w:r>
      <w:r w:rsidR="00594DC1" w:rsidRPr="0087273F">
        <w:rPr>
          <w:u w:val="single"/>
        </w:rPr>
        <w:t>N.J.S.A.</w:t>
      </w:r>
      <w:r w:rsidR="00594DC1" w:rsidRPr="00594DC1">
        <w:t xml:space="preserve"> 40:55D-2a, the general welfare will be promoted by approval of this application</w:t>
      </w:r>
      <w:r>
        <w:t xml:space="preserve"> because the </w:t>
      </w:r>
      <w:r w:rsidR="003D597D">
        <w:t xml:space="preserve">Property </w:t>
      </w:r>
      <w:r w:rsidR="00D15092">
        <w:t xml:space="preserve"> is an appropriate</w:t>
      </w:r>
      <w:r>
        <w:t xml:space="preserve"> location for the </w:t>
      </w:r>
      <w:r w:rsidR="00BB3F98">
        <w:t xml:space="preserve">commercial uses </w:t>
      </w:r>
      <w:r>
        <w:t xml:space="preserve">which will be </w:t>
      </w:r>
      <w:r w:rsidR="00D15092">
        <w:t xml:space="preserve">located </w:t>
      </w:r>
      <w:r w:rsidR="00BB3F98">
        <w:t>adjacent to Interchange 91 of the Garden State Parkway</w:t>
      </w:r>
      <w:r>
        <w:t>.  Section 2g is promoted</w:t>
      </w:r>
      <w:r w:rsidR="00594DC1" w:rsidRPr="00594DC1">
        <w:t xml:space="preserve"> by providing sufficient space in appropriate locations f</w:t>
      </w:r>
      <w:r>
        <w:t>or a variety of commercial uses.  Section</w:t>
      </w:r>
      <w:r w:rsidR="00594DC1" w:rsidRPr="00594DC1">
        <w:t xml:space="preserve"> </w:t>
      </w:r>
      <w:r>
        <w:t>2i is promoted because the</w:t>
      </w:r>
      <w:r w:rsidR="0027093C">
        <w:t xml:space="preserve"> improvements will upgrade the </w:t>
      </w:r>
      <w:r w:rsidR="003D597D">
        <w:t>Property</w:t>
      </w:r>
      <w:r>
        <w:t>.  Section 2m is promoted</w:t>
      </w:r>
      <w:r w:rsidR="00594DC1" w:rsidRPr="00594DC1">
        <w:t xml:space="preserve"> because the approval of this application will result in more efficient use of land</w:t>
      </w:r>
      <w:r w:rsidR="00594DC1">
        <w:t>.</w:t>
      </w:r>
    </w:p>
    <w:p w:rsidR="00594DC1" w:rsidRDefault="00043ABC" w:rsidP="00C6195A">
      <w:pPr>
        <w:pStyle w:val="ListParagraph"/>
        <w:numPr>
          <w:ilvl w:val="0"/>
          <w:numId w:val="11"/>
        </w:numPr>
        <w:spacing w:line="480" w:lineRule="auto"/>
        <w:ind w:left="0" w:firstLine="720"/>
        <w:jc w:val="both"/>
      </w:pPr>
      <w:r>
        <w:t>T</w:t>
      </w:r>
      <w:r w:rsidR="00594DC1">
        <w:t xml:space="preserve">he Board reaches these conclusions because the </w:t>
      </w:r>
      <w:r w:rsidR="00376F20">
        <w:t>Property</w:t>
      </w:r>
      <w:r w:rsidR="00594DC1">
        <w:t xml:space="preserve"> is </w:t>
      </w:r>
      <w:r>
        <w:t>l</w:t>
      </w:r>
      <w:r w:rsidR="00D251B7">
        <w:t>ocated adjacent to a</w:t>
      </w:r>
      <w:r w:rsidR="0027093C">
        <w:t xml:space="preserve"> </w:t>
      </w:r>
      <w:r>
        <w:t xml:space="preserve">series of commercial </w:t>
      </w:r>
      <w:r w:rsidR="00D44AE1">
        <w:t>lots</w:t>
      </w:r>
      <w:r>
        <w:t xml:space="preserve"> </w:t>
      </w:r>
      <w:r w:rsidR="0027093C">
        <w:t>located along Lanes Mill Road and Burnt Tavern Road as well as Interchange 91 of the Garden State Parkway</w:t>
      </w:r>
      <w:r>
        <w:t>.</w:t>
      </w:r>
      <w:r w:rsidR="00594DC1">
        <w:t xml:space="preserve">  </w:t>
      </w:r>
      <w:r w:rsidR="00595856">
        <w:t xml:space="preserve">This distinguishes the Property from others in the </w:t>
      </w:r>
      <w:r w:rsidR="00595856">
        <w:lastRenderedPageBreak/>
        <w:t xml:space="preserve">zone. </w:t>
      </w:r>
      <w:r w:rsidR="00594DC1">
        <w:t>The Board also f</w:t>
      </w:r>
      <w:r>
        <w:t xml:space="preserve">inds that the multiple </w:t>
      </w:r>
      <w:r w:rsidR="00594DC1">
        <w:t>use</w:t>
      </w:r>
      <w:r>
        <w:t>s</w:t>
      </w:r>
      <w:r w:rsidR="00594DC1">
        <w:t xml:space="preserve"> </w:t>
      </w:r>
      <w:r>
        <w:t xml:space="preserve">proposed on the site fit with the adjacent commercial uses which have existed for decades along </w:t>
      </w:r>
      <w:r w:rsidR="0027093C">
        <w:t>Lanes Mill Road and Burnt Tavern Road</w:t>
      </w:r>
      <w:r>
        <w:t>.</w:t>
      </w:r>
      <w:r w:rsidR="00594DC1">
        <w:t xml:space="preserve"> </w:t>
      </w:r>
    </w:p>
    <w:p w:rsidR="00594DC1" w:rsidRDefault="00D15092" w:rsidP="00C6195A">
      <w:pPr>
        <w:pStyle w:val="ListParagraph"/>
        <w:spacing w:line="480" w:lineRule="auto"/>
        <w:ind w:left="0" w:firstLine="720"/>
        <w:jc w:val="both"/>
      </w:pPr>
      <w:r>
        <w:t xml:space="preserve">    </w:t>
      </w:r>
      <w:r w:rsidR="00C6195A">
        <w:t>8</w:t>
      </w:r>
      <w:r w:rsidR="00594DC1">
        <w:t>.</w:t>
      </w:r>
      <w:r w:rsidR="00594DC1">
        <w:tab/>
      </w:r>
      <w:r w:rsidR="007D35CA">
        <w:t>The Board finds the Applicant continues to satisfy the negative criteria.</w:t>
      </w:r>
      <w:r w:rsidR="00594DC1">
        <w:t xml:space="preserve"> </w:t>
      </w:r>
      <w:r w:rsidR="00C23CC7">
        <w:t>The</w:t>
      </w:r>
      <w:r w:rsidR="00976216">
        <w:t xml:space="preserve"> Board </w:t>
      </w:r>
      <w:r w:rsidR="00C23CC7">
        <w:t xml:space="preserve">continues to find </w:t>
      </w:r>
      <w:r w:rsidR="00976216">
        <w:t>that the multiple commercial uses of the Property would be a benefit to the surrounding commercial propert</w:t>
      </w:r>
      <w:r w:rsidR="00C23CC7">
        <w:t>ies a</w:t>
      </w:r>
      <w:r w:rsidR="00976216">
        <w:t>nd that there would not be a significant negative impact on adjoining commercial properties.  The Board’s conclusions remain the same for the instant application.  T</w:t>
      </w:r>
      <w:r>
        <w:t xml:space="preserve">he Board </w:t>
      </w:r>
      <w:r w:rsidR="00976216">
        <w:t xml:space="preserve">therefore </w:t>
      </w:r>
      <w:r>
        <w:t xml:space="preserve">finds that </w:t>
      </w:r>
      <w:r w:rsidR="00594DC1">
        <w:t>variance relief can be granted without substantial detriment to the public good and that the variance</w:t>
      </w:r>
      <w:r>
        <w:t>s</w:t>
      </w:r>
      <w:r w:rsidR="00594DC1">
        <w:t xml:space="preserve"> can be granted without substantial impairment of the zone plan and zoning ordinance.  The Board also f</w:t>
      </w:r>
      <w:r w:rsidR="003144D3">
        <w:t>inds that the commercial uses, which are contained in the B-</w:t>
      </w:r>
      <w:r w:rsidR="0027093C">
        <w:t>2</w:t>
      </w:r>
      <w:r w:rsidR="003144D3">
        <w:t xml:space="preserve"> Business Commercial Zone, are</w:t>
      </w:r>
      <w:r w:rsidR="00594DC1">
        <w:t xml:space="preserve"> consistent with the zone plan and zoning ordinance.</w:t>
      </w:r>
      <w:r w:rsidR="00C23CC7">
        <w:t xml:space="preserve"> The negative criteria has therefore been satisfied.</w:t>
      </w:r>
    </w:p>
    <w:p w:rsidR="00343B62" w:rsidRDefault="00C6195A" w:rsidP="00C6195A">
      <w:pPr>
        <w:spacing w:line="480" w:lineRule="auto"/>
        <w:ind w:firstLine="720"/>
        <w:jc w:val="both"/>
      </w:pPr>
      <w:r>
        <w:t>9</w:t>
      </w:r>
      <w:r w:rsidR="003144D3">
        <w:t>.</w:t>
      </w:r>
      <w:r w:rsidR="003144D3">
        <w:tab/>
      </w:r>
      <w:r w:rsidR="00343B62">
        <w:t xml:space="preserve">Based upon the foregoing, the Board concludes that the positive criteria substantially </w:t>
      </w:r>
      <w:r w:rsidR="00B30DF2">
        <w:t>outweigh</w:t>
      </w:r>
      <w:r w:rsidR="0093784D">
        <w:t>s</w:t>
      </w:r>
      <w:bookmarkStart w:id="0" w:name="_GoBack"/>
      <w:bookmarkEnd w:id="0"/>
      <w:r w:rsidR="00343B62">
        <w:t xml:space="preserve"> the negative criteria and that the</w:t>
      </w:r>
      <w:r w:rsidR="00523BCC">
        <w:t xml:space="preserve"> use variance relief </w:t>
      </w:r>
      <w:r w:rsidR="00343B62">
        <w:t xml:space="preserve">pursuant to </w:t>
      </w:r>
      <w:r w:rsidR="00343B62" w:rsidRPr="00343B62">
        <w:rPr>
          <w:u w:val="single"/>
        </w:rPr>
        <w:t>N.J.S.A.</w:t>
      </w:r>
      <w:r w:rsidR="00343B62">
        <w:t xml:space="preserve"> 40:55D-70d(1) may be granted.</w:t>
      </w:r>
    </w:p>
    <w:p w:rsidR="00594DC1" w:rsidRDefault="00343B62" w:rsidP="00C6195A">
      <w:pPr>
        <w:spacing w:line="480" w:lineRule="auto"/>
        <w:ind w:firstLine="720"/>
        <w:jc w:val="both"/>
      </w:pPr>
      <w:r>
        <w:t>10.</w:t>
      </w:r>
      <w:r>
        <w:tab/>
      </w:r>
      <w:r w:rsidR="00D45826">
        <w:t xml:space="preserve"> </w:t>
      </w:r>
      <w:r w:rsidR="0027093C">
        <w:t>G</w:t>
      </w:r>
      <w:r w:rsidR="00594DC1">
        <w:t xml:space="preserve">enerally, an application for a “c” and “d” variance cannot co-exist.  If the application is for a use not permitted in the zone, the bulk regulations designed for that zone cannot be applicable to the intended use.  A Zoning Board in considering a use variance must then consider the overall site design.  In essence, the “c” variances are subsumed in the “d” variance.  </w:t>
      </w:r>
      <w:r w:rsidRPr="00343B62">
        <w:rPr>
          <w:u w:val="single"/>
        </w:rPr>
        <w:t>See</w:t>
      </w:r>
      <w:r>
        <w:t xml:space="preserve">, </w:t>
      </w:r>
      <w:r w:rsidR="00594DC1" w:rsidRPr="002921AD">
        <w:rPr>
          <w:u w:val="single"/>
        </w:rPr>
        <w:t>Puleio v. North Brunswick Zoning Board</w:t>
      </w:r>
      <w:r w:rsidR="00594DC1">
        <w:t xml:space="preserve">, 375 </w:t>
      </w:r>
      <w:r w:rsidR="00594DC1" w:rsidRPr="000B5000">
        <w:rPr>
          <w:u w:val="single"/>
        </w:rPr>
        <w:t>N.J. Super.</w:t>
      </w:r>
      <w:r w:rsidR="00594DC1">
        <w:t xml:space="preserve"> 413 (App. Div.) </w:t>
      </w:r>
      <w:r w:rsidR="00594DC1" w:rsidRPr="009B28A1">
        <w:rPr>
          <w:u w:val="single"/>
        </w:rPr>
        <w:t>certif.</w:t>
      </w:r>
      <w:r w:rsidR="00594DC1">
        <w:t xml:space="preserve"> </w:t>
      </w:r>
      <w:r w:rsidR="00594DC1" w:rsidRPr="009B28A1">
        <w:rPr>
          <w:u w:val="single"/>
        </w:rPr>
        <w:t>den.</w:t>
      </w:r>
      <w:r w:rsidR="00594DC1">
        <w:t xml:space="preserve"> 184 N.J. 212 (2005).</w:t>
      </w:r>
      <w:r w:rsidR="000B5000">
        <w:t xml:space="preserve">  The requests for bulk variance relief in the instant application are therefore subsumed with the grant of use variance relief.</w:t>
      </w:r>
    </w:p>
    <w:p w:rsidR="000163EB" w:rsidRPr="000163EB" w:rsidRDefault="000163EB" w:rsidP="00884B51">
      <w:pPr>
        <w:spacing w:line="480" w:lineRule="auto"/>
        <w:jc w:val="both"/>
      </w:pPr>
      <w:r>
        <w:lastRenderedPageBreak/>
        <w:tab/>
        <w:t xml:space="preserve">The Applicant has also requested preliminary and final site plan approval pursuant to </w:t>
      </w:r>
      <w:r>
        <w:rPr>
          <w:u w:val="single"/>
        </w:rPr>
        <w:t>N.J.S.A.</w:t>
      </w:r>
      <w:r>
        <w:t xml:space="preserve"> 40:55D-46 and </w:t>
      </w:r>
      <w:r>
        <w:rPr>
          <w:u w:val="single"/>
        </w:rPr>
        <w:t>N.J.S.A.</w:t>
      </w:r>
      <w:r>
        <w:t xml:space="preserve"> 40:55D-50.  As previously stated, the Applicant has satisfied the proofs necessary to be granted use variance relief pursuant to </w:t>
      </w:r>
      <w:r>
        <w:rPr>
          <w:u w:val="single"/>
        </w:rPr>
        <w:t>N.J.S.A.</w:t>
      </w:r>
      <w:r>
        <w:t xml:space="preserve"> 40:55D-70d(1).  The use variance analysis</w:t>
      </w:r>
      <w:r w:rsidR="00C6195A">
        <w:t xml:space="preserve"> subsumed consideration of the</w:t>
      </w:r>
      <w:r w:rsidR="00164768">
        <w:t xml:space="preserve"> bulk requirement</w:t>
      </w:r>
      <w:r>
        <w:t xml:space="preserve">s for the </w:t>
      </w:r>
      <w:r w:rsidR="002F6C26">
        <w:t>Property.</w:t>
      </w:r>
      <w:r>
        <w:t xml:space="preserve">  No other relief is therefore necessary.  The Board therefore determines that preliminary site plan approval pursuant to </w:t>
      </w:r>
      <w:r>
        <w:rPr>
          <w:u w:val="single"/>
        </w:rPr>
        <w:t>N.J.S.A.</w:t>
      </w:r>
      <w:r>
        <w:t xml:space="preserve"> 40:55D-46 and final site plan approval pursuant to </w:t>
      </w:r>
      <w:r>
        <w:rPr>
          <w:u w:val="single"/>
        </w:rPr>
        <w:t>N.J.S.A.</w:t>
      </w:r>
      <w:r>
        <w:t xml:space="preserve"> 40:55D-50 are appropriate.</w:t>
      </w:r>
    </w:p>
    <w:p w:rsidR="00594DC1" w:rsidRDefault="00594DC1" w:rsidP="00884B51">
      <w:pPr>
        <w:spacing w:line="480" w:lineRule="auto"/>
        <w:ind w:firstLine="720"/>
        <w:jc w:val="both"/>
      </w:pPr>
      <w:r w:rsidRPr="00D04D9F">
        <w:rPr>
          <w:b/>
        </w:rPr>
        <w:t>NOW, THEREFORE, BE IT RESOLVED</w:t>
      </w:r>
      <w:r>
        <w:t xml:space="preserve">, by the Brick Township Zoning Board of Adjustment on this </w:t>
      </w:r>
      <w:r w:rsidR="007B0FE7">
        <w:t>7th</w:t>
      </w:r>
      <w:r>
        <w:t xml:space="preserve"> day of  </w:t>
      </w:r>
      <w:r w:rsidR="007B0FE7">
        <w:t>October</w:t>
      </w:r>
      <w:r>
        <w:t>, 20</w:t>
      </w:r>
      <w:r w:rsidR="007B0FE7">
        <w:t>20</w:t>
      </w:r>
      <w:r>
        <w:t xml:space="preserve">, that the action of the Board taken on </w:t>
      </w:r>
      <w:r w:rsidR="007B0FE7">
        <w:t>September 3, 2020</w:t>
      </w:r>
      <w:r>
        <w:t xml:space="preserve"> granting Application No. </w:t>
      </w:r>
      <w:r w:rsidR="00395A39" w:rsidRPr="00395A39">
        <w:t>BA-3028-</w:t>
      </w:r>
      <w:r w:rsidR="007B0FE7">
        <w:t>A-</w:t>
      </w:r>
      <w:r w:rsidR="00395A39" w:rsidRPr="00395A39">
        <w:t>PSP-FSP-C-D-</w:t>
      </w:r>
      <w:r w:rsidR="007B0FE7">
        <w:t>5</w:t>
      </w:r>
      <w:r w:rsidR="00395A39" w:rsidRPr="00395A39">
        <w:t>/</w:t>
      </w:r>
      <w:r w:rsidR="007B0FE7">
        <w:t>20</w:t>
      </w:r>
      <w:r w:rsidR="00395A39">
        <w:t xml:space="preserve"> </w:t>
      </w:r>
      <w:r>
        <w:t>of</w:t>
      </w:r>
      <w:r w:rsidR="00467FEC">
        <w:t xml:space="preserve"> </w:t>
      </w:r>
      <w:r>
        <w:t xml:space="preserve"> </w:t>
      </w:r>
      <w:r w:rsidR="004B6105">
        <w:t>PMG New Jersey, LLC</w:t>
      </w:r>
      <w:r w:rsidR="00884B51">
        <w:t xml:space="preserve"> for </w:t>
      </w:r>
      <w:r w:rsidR="00884B51" w:rsidRPr="00884B51">
        <w:t xml:space="preserve">use variance relief, pursuant to </w:t>
      </w:r>
      <w:r w:rsidR="00884B51" w:rsidRPr="00EE737D">
        <w:rPr>
          <w:u w:val="single"/>
        </w:rPr>
        <w:t>N.J.S.A.</w:t>
      </w:r>
      <w:r w:rsidR="00884B51" w:rsidRPr="00884B51">
        <w:t xml:space="preserve"> 40:55D-70d(1), preliminary and final site plan approval, pursuan</w:t>
      </w:r>
      <w:r w:rsidR="000163EB">
        <w:t xml:space="preserve">t to </w:t>
      </w:r>
      <w:r w:rsidR="000163EB" w:rsidRPr="000C3FCE">
        <w:rPr>
          <w:u w:val="single"/>
        </w:rPr>
        <w:t>N.J.S.A.</w:t>
      </w:r>
      <w:r w:rsidR="000163EB">
        <w:t xml:space="preserve"> 40:55D-46 and 50 </w:t>
      </w:r>
      <w:r>
        <w:t>is hereby memorialized, subject to the following conditions:</w:t>
      </w:r>
    </w:p>
    <w:p w:rsidR="00594DC1" w:rsidRDefault="00594DC1" w:rsidP="00C6195A">
      <w:pPr>
        <w:pStyle w:val="ListParagraph"/>
        <w:spacing w:line="480" w:lineRule="auto"/>
        <w:ind w:left="2160" w:right="720" w:hanging="720"/>
        <w:jc w:val="both"/>
      </w:pPr>
      <w:r>
        <w:t>1.</w:t>
      </w:r>
      <w:r>
        <w:tab/>
        <w:t>Applicant shall comply with standard Zoning Boa</w:t>
      </w:r>
      <w:r w:rsidR="00884B51">
        <w:t xml:space="preserve">rd of Adjustment conditions as </w:t>
      </w:r>
      <w:r>
        <w:t>set forth in attached Schedule “A”.</w:t>
      </w:r>
    </w:p>
    <w:p w:rsidR="00594DC1" w:rsidRDefault="00594DC1" w:rsidP="00C6195A">
      <w:pPr>
        <w:pStyle w:val="ListParagraph"/>
        <w:spacing w:line="480" w:lineRule="auto"/>
        <w:ind w:left="2160" w:right="720" w:hanging="720"/>
        <w:jc w:val="both"/>
      </w:pPr>
      <w:r>
        <w:t>2.</w:t>
      </w:r>
      <w:r>
        <w:tab/>
        <w:t>The development of this site shall take place in</w:t>
      </w:r>
      <w:r w:rsidR="00884B51">
        <w:t xml:space="preserve"> strict conformance with the </w:t>
      </w:r>
      <w:r>
        <w:t>testimony, plans and drawings which have been submitted to the Board with this application, as revised by the terms hereof.</w:t>
      </w:r>
    </w:p>
    <w:p w:rsidR="00594DC1" w:rsidRDefault="00594DC1" w:rsidP="00C6195A">
      <w:pPr>
        <w:pStyle w:val="ListParagraph"/>
        <w:spacing w:line="480" w:lineRule="auto"/>
        <w:ind w:left="2160" w:right="720" w:hanging="720"/>
        <w:jc w:val="both"/>
      </w:pPr>
      <w:r>
        <w:t xml:space="preserve">3. </w:t>
      </w:r>
      <w:r>
        <w:tab/>
        <w:t>Except where specifically modified by the terms of this Resolution, the Applicant shall comply with the recommendations contained in the reports of the Board’s professionals.</w:t>
      </w:r>
    </w:p>
    <w:p w:rsidR="00594DC1" w:rsidRDefault="00594DC1" w:rsidP="00C6195A">
      <w:pPr>
        <w:pStyle w:val="ListParagraph"/>
        <w:spacing w:line="480" w:lineRule="auto"/>
        <w:ind w:left="2160" w:right="720" w:hanging="720"/>
        <w:jc w:val="both"/>
      </w:pPr>
      <w:r>
        <w:lastRenderedPageBreak/>
        <w:t>4.</w:t>
      </w:r>
      <w:r>
        <w:tab/>
        <w:t>The Appl</w:t>
      </w:r>
      <w:r w:rsidR="001D3CD0">
        <w:t>icant shall submit a</w:t>
      </w:r>
      <w:r w:rsidR="000163EB">
        <w:t xml:space="preserve"> revised sign plan for review and approval of the Board Engineer.</w:t>
      </w:r>
    </w:p>
    <w:p w:rsidR="00594DC1" w:rsidRDefault="00594DC1" w:rsidP="00C6195A">
      <w:pPr>
        <w:pStyle w:val="ListParagraph"/>
        <w:spacing w:line="480" w:lineRule="auto"/>
        <w:ind w:left="2160" w:right="720" w:hanging="720"/>
        <w:jc w:val="both"/>
      </w:pPr>
      <w:r>
        <w:t>5.</w:t>
      </w:r>
      <w:r>
        <w:tab/>
        <w:t xml:space="preserve">The Applicant shall </w:t>
      </w:r>
      <w:r w:rsidR="00E47A12">
        <w:t>comply with all Township Fire Department requirements</w:t>
      </w:r>
      <w:r>
        <w:t>.</w:t>
      </w:r>
    </w:p>
    <w:p w:rsidR="00594DC1" w:rsidRDefault="00594DC1" w:rsidP="00C6195A">
      <w:pPr>
        <w:pStyle w:val="ListParagraph"/>
        <w:spacing w:line="480" w:lineRule="auto"/>
        <w:ind w:left="2160" w:right="720" w:hanging="720"/>
        <w:jc w:val="both"/>
      </w:pPr>
      <w:r>
        <w:t>6.</w:t>
      </w:r>
      <w:r>
        <w:tab/>
        <w:t xml:space="preserve">The Applicant shall </w:t>
      </w:r>
      <w:r w:rsidR="00E47A12">
        <w:t>install sidewalks and curbing subject to the approval of the Township Planner.</w:t>
      </w:r>
    </w:p>
    <w:p w:rsidR="0056092B" w:rsidRDefault="0056092B" w:rsidP="00C6195A">
      <w:pPr>
        <w:pStyle w:val="ListParagraph"/>
        <w:spacing w:line="480" w:lineRule="auto"/>
        <w:ind w:left="2160" w:right="720" w:hanging="720"/>
        <w:jc w:val="both"/>
      </w:pPr>
    </w:p>
    <w:p w:rsidR="00464ED9" w:rsidRPr="00D04D9F" w:rsidRDefault="00FD3A94" w:rsidP="00D968C1">
      <w:pPr>
        <w:jc w:val="both"/>
        <w:rPr>
          <w:sz w:val="14"/>
          <w:szCs w:val="14"/>
        </w:rPr>
      </w:pPr>
      <w:r w:rsidRPr="00D04D9F">
        <w:rPr>
          <w:noProof/>
          <w:sz w:val="14"/>
          <w:szCs w:val="14"/>
        </w:rPr>
        <w:fldChar w:fldCharType="begin"/>
      </w:r>
      <w:r w:rsidRPr="00D04D9F">
        <w:rPr>
          <w:noProof/>
          <w:sz w:val="14"/>
          <w:szCs w:val="14"/>
        </w:rPr>
        <w:instrText xml:space="preserve"> FILENAME   \* MERGEFORMAT </w:instrText>
      </w:r>
      <w:r w:rsidRPr="00D04D9F">
        <w:rPr>
          <w:noProof/>
          <w:sz w:val="14"/>
          <w:szCs w:val="14"/>
        </w:rPr>
        <w:fldChar w:fldCharType="separate"/>
      </w:r>
      <w:r w:rsidR="00D04D9F" w:rsidRPr="00D04D9F">
        <w:rPr>
          <w:noProof/>
          <w:sz w:val="14"/>
          <w:szCs w:val="14"/>
        </w:rPr>
        <w:t>1883194_1</w:t>
      </w:r>
      <w:r w:rsidRPr="00D04D9F">
        <w:rPr>
          <w:noProof/>
          <w:sz w:val="14"/>
          <w:szCs w:val="14"/>
        </w:rPr>
        <w:fldChar w:fldCharType="end"/>
      </w:r>
      <w:r w:rsidRPr="00D04D9F">
        <w:rPr>
          <w:noProof/>
          <w:sz w:val="14"/>
          <w:szCs w:val="14"/>
        </w:rPr>
        <w:t xml:space="preserve"> </w:t>
      </w:r>
      <w:r w:rsidR="00673398" w:rsidRPr="00D04D9F">
        <w:rPr>
          <w:sz w:val="14"/>
          <w:szCs w:val="14"/>
        </w:rPr>
        <w:t>BRICKZB-</w:t>
      </w:r>
      <w:r w:rsidR="00D04D9F" w:rsidRPr="00D04D9F">
        <w:rPr>
          <w:sz w:val="14"/>
          <w:szCs w:val="14"/>
        </w:rPr>
        <w:t>380</w:t>
      </w:r>
      <w:r w:rsidR="00673398" w:rsidRPr="00D04D9F">
        <w:rPr>
          <w:sz w:val="14"/>
          <w:szCs w:val="14"/>
        </w:rPr>
        <w:t xml:space="preserve">E </w:t>
      </w:r>
      <w:r w:rsidR="004B6105" w:rsidRPr="00D04D9F">
        <w:rPr>
          <w:sz w:val="14"/>
          <w:szCs w:val="14"/>
        </w:rPr>
        <w:t>PMG New Jersey, LLC</w:t>
      </w:r>
      <w:r w:rsidR="00673398" w:rsidRPr="00D04D9F">
        <w:rPr>
          <w:sz w:val="14"/>
          <w:szCs w:val="14"/>
        </w:rPr>
        <w:t xml:space="preserve">  Resolution for Use Variance, </w:t>
      </w:r>
      <w:r w:rsidR="00D04D9F" w:rsidRPr="00D04D9F">
        <w:rPr>
          <w:sz w:val="14"/>
          <w:szCs w:val="14"/>
        </w:rPr>
        <w:t xml:space="preserve">Amended </w:t>
      </w:r>
      <w:r w:rsidR="00673398" w:rsidRPr="00D04D9F">
        <w:rPr>
          <w:sz w:val="14"/>
          <w:szCs w:val="14"/>
        </w:rPr>
        <w:t>Prelim</w:t>
      </w:r>
      <w:r w:rsidR="00D04D9F" w:rsidRPr="00D04D9F">
        <w:rPr>
          <w:sz w:val="14"/>
          <w:szCs w:val="14"/>
        </w:rPr>
        <w:t>. &amp;</w:t>
      </w:r>
      <w:r w:rsidR="00673398" w:rsidRPr="00D04D9F">
        <w:rPr>
          <w:sz w:val="14"/>
          <w:szCs w:val="14"/>
        </w:rPr>
        <w:t xml:space="preserve"> Final Site Plan</w:t>
      </w:r>
      <w:r w:rsidR="00D04D9F" w:rsidRPr="00D04D9F">
        <w:rPr>
          <w:sz w:val="14"/>
          <w:szCs w:val="14"/>
        </w:rPr>
        <w:t xml:space="preserve"> (BA-3028-A-PSP-FSP-C-D-5/20) </w:t>
      </w:r>
      <w:r w:rsidR="00775CE2">
        <w:rPr>
          <w:sz w:val="14"/>
          <w:szCs w:val="14"/>
        </w:rPr>
        <w:t>10</w:t>
      </w:r>
      <w:r w:rsidR="00D04D9F" w:rsidRPr="00D04D9F">
        <w:rPr>
          <w:sz w:val="14"/>
          <w:szCs w:val="14"/>
        </w:rPr>
        <w:t>.</w:t>
      </w:r>
      <w:r w:rsidR="00775CE2">
        <w:rPr>
          <w:sz w:val="14"/>
          <w:szCs w:val="14"/>
        </w:rPr>
        <w:t>0</w:t>
      </w:r>
      <w:r w:rsidR="00D04D9F" w:rsidRPr="00D04D9F">
        <w:rPr>
          <w:sz w:val="14"/>
          <w:szCs w:val="14"/>
        </w:rPr>
        <w:t xml:space="preserve">7.20  </w:t>
      </w:r>
    </w:p>
    <w:sectPr w:rsidR="00464ED9" w:rsidRPr="00D04D9F" w:rsidSect="002B5267">
      <w:headerReference w:type="default" r:id="rId8"/>
      <w:footerReference w:type="default" r:id="rId9"/>
      <w:pgSz w:w="12240" w:h="15840" w:code="1"/>
      <w:pgMar w:top="1440" w:right="1440" w:bottom="1440" w:left="1440" w:header="1440" w:footer="720" w:gutter="0"/>
      <w:pgBorders w:offsetFrom="page">
        <w:left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1FD" w:rsidRDefault="000111FD" w:rsidP="00B82AD8">
      <w:r>
        <w:separator/>
      </w:r>
    </w:p>
  </w:endnote>
  <w:endnote w:type="continuationSeparator" w:id="0">
    <w:p w:rsidR="000111FD" w:rsidRDefault="000111FD" w:rsidP="00B8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133843"/>
      <w:docPartObj>
        <w:docPartGallery w:val="Page Numbers (Bottom of Page)"/>
        <w:docPartUnique/>
      </w:docPartObj>
    </w:sdtPr>
    <w:sdtEndPr>
      <w:rPr>
        <w:noProof/>
      </w:rPr>
    </w:sdtEndPr>
    <w:sdtContent>
      <w:p w:rsidR="008E7A8F" w:rsidRDefault="008E7A8F">
        <w:pPr>
          <w:pStyle w:val="Footer"/>
          <w:jc w:val="center"/>
        </w:pPr>
        <w:r>
          <w:fldChar w:fldCharType="begin"/>
        </w:r>
        <w:r>
          <w:instrText xml:space="preserve"> PAGE   \* MERGEFORMAT </w:instrText>
        </w:r>
        <w:r>
          <w:fldChar w:fldCharType="separate"/>
        </w:r>
        <w:r w:rsidR="001D3CD0">
          <w:rPr>
            <w:noProof/>
          </w:rPr>
          <w:t>16</w:t>
        </w:r>
        <w:r>
          <w:rPr>
            <w:noProof/>
          </w:rPr>
          <w:fldChar w:fldCharType="end"/>
        </w:r>
      </w:p>
    </w:sdtContent>
  </w:sdt>
  <w:p w:rsidR="008E7A8F" w:rsidRDefault="008E7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1FD" w:rsidRDefault="000111FD" w:rsidP="00B82AD8">
      <w:r>
        <w:separator/>
      </w:r>
    </w:p>
  </w:footnote>
  <w:footnote w:type="continuationSeparator" w:id="0">
    <w:p w:rsidR="000111FD" w:rsidRDefault="000111FD" w:rsidP="00B8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8F" w:rsidRDefault="008E7A8F" w:rsidP="00AE60EC">
    <w:pPr>
      <w:pStyle w:val="Header"/>
    </w:pPr>
    <w:r>
      <w:t xml:space="preserve">Case No. </w:t>
    </w:r>
    <w:r w:rsidR="00F30802">
      <w:t>BA-3028-</w:t>
    </w:r>
    <w:r w:rsidR="00D72E8B">
      <w:t>A-</w:t>
    </w:r>
    <w:r w:rsidR="00F30802">
      <w:t>PSP-FSP-C-D-</w:t>
    </w:r>
    <w:r w:rsidR="00D72E8B">
      <w:t>5</w:t>
    </w:r>
    <w:r w:rsidR="00F30802">
      <w:t>/</w:t>
    </w:r>
    <w:r w:rsidR="00D72E8B">
      <w:t>20</w:t>
    </w:r>
    <w:r w:rsidR="00D72E8B">
      <w:tab/>
    </w:r>
    <w:r w:rsidR="00D72E8B">
      <w:tab/>
    </w:r>
    <w:r w:rsidR="007B12B0">
      <w:t xml:space="preserve">October </w:t>
    </w:r>
    <w:r w:rsidR="00D72E8B">
      <w:t>7, 2020</w:t>
    </w:r>
  </w:p>
  <w:p w:rsidR="008E7A8F" w:rsidRDefault="00F30802" w:rsidP="002B673A">
    <w:pPr>
      <w:pStyle w:val="Header"/>
      <w:tabs>
        <w:tab w:val="clear" w:pos="4680"/>
        <w:tab w:val="clear" w:pos="9360"/>
        <w:tab w:val="right" w:pos="-90"/>
      </w:tabs>
    </w:pPr>
    <w:r>
      <w:t>PMG New Jersey,</w:t>
    </w:r>
    <w:r w:rsidR="003A3820">
      <w:t xml:space="preserve"> LLC </w:t>
    </w:r>
    <w:r w:rsidR="008E7A8F">
      <w:tab/>
    </w:r>
    <w:r w:rsidR="008E7A8F">
      <w:tab/>
    </w:r>
    <w:r w:rsidR="008E7A8F">
      <w:tab/>
    </w:r>
    <w:r w:rsidR="008E7A8F">
      <w:tab/>
    </w:r>
    <w:r w:rsidR="008E7A8F">
      <w:tab/>
    </w:r>
    <w:r w:rsidR="008E7A8F">
      <w:tab/>
    </w:r>
    <w:r w:rsidR="008E7A8F">
      <w:tab/>
      <w:t xml:space="preserve">     </w:t>
    </w:r>
  </w:p>
  <w:p w:rsidR="00735AAC" w:rsidRDefault="00735AAC" w:rsidP="002B673A">
    <w:pPr>
      <w:pStyle w:val="Header"/>
      <w:tabs>
        <w:tab w:val="clear" w:pos="4680"/>
        <w:tab w:val="clear" w:pos="9360"/>
        <w:tab w:val="right" w:pos="-90"/>
      </w:tabs>
    </w:pPr>
  </w:p>
  <w:p w:rsidR="003A3820" w:rsidRDefault="003A3820" w:rsidP="002B673A">
    <w:pPr>
      <w:pStyle w:val="Header"/>
      <w:tabs>
        <w:tab w:val="clear" w:pos="4680"/>
        <w:tab w:val="clear" w:pos="9360"/>
        <w:tab w:val="right" w:pos="-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5545"/>
    <w:multiLevelType w:val="hybridMultilevel"/>
    <w:tmpl w:val="EC2C1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A775B0"/>
    <w:multiLevelType w:val="hybridMultilevel"/>
    <w:tmpl w:val="DFE27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336B5B"/>
    <w:multiLevelType w:val="hybridMultilevel"/>
    <w:tmpl w:val="333CCF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ED721D"/>
    <w:multiLevelType w:val="hybridMultilevel"/>
    <w:tmpl w:val="29F2B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D0105C"/>
    <w:multiLevelType w:val="hybridMultilevel"/>
    <w:tmpl w:val="FC7EF7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6E3C02"/>
    <w:multiLevelType w:val="hybridMultilevel"/>
    <w:tmpl w:val="D102F26E"/>
    <w:lvl w:ilvl="0" w:tplc="0D9EC4C6">
      <w:start w:val="1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37AEA"/>
    <w:multiLevelType w:val="hybridMultilevel"/>
    <w:tmpl w:val="73CEFF02"/>
    <w:lvl w:ilvl="0" w:tplc="6130E58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023DC"/>
    <w:multiLevelType w:val="hybridMultilevel"/>
    <w:tmpl w:val="DF185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413099"/>
    <w:multiLevelType w:val="hybridMultilevel"/>
    <w:tmpl w:val="5B6CA40E"/>
    <w:lvl w:ilvl="0" w:tplc="413AE2D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8D7E7F"/>
    <w:multiLevelType w:val="hybridMultilevel"/>
    <w:tmpl w:val="8D1E4F5C"/>
    <w:lvl w:ilvl="0" w:tplc="E2603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4E038C"/>
    <w:multiLevelType w:val="hybridMultilevel"/>
    <w:tmpl w:val="B4E062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E13F62"/>
    <w:multiLevelType w:val="hybridMultilevel"/>
    <w:tmpl w:val="BF92DBD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 w15:restartNumberingAfterBreak="0">
    <w:nsid w:val="7F855BA2"/>
    <w:multiLevelType w:val="hybridMultilevel"/>
    <w:tmpl w:val="47E0C6A4"/>
    <w:lvl w:ilvl="0" w:tplc="C2248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12"/>
  </w:num>
  <w:num w:numId="4">
    <w:abstractNumId w:val="3"/>
  </w:num>
  <w:num w:numId="5">
    <w:abstractNumId w:val="9"/>
  </w:num>
  <w:num w:numId="6">
    <w:abstractNumId w:val="6"/>
  </w:num>
  <w:num w:numId="7">
    <w:abstractNumId w:val="7"/>
  </w:num>
  <w:num w:numId="8">
    <w:abstractNumId w:val="1"/>
  </w:num>
  <w:num w:numId="9">
    <w:abstractNumId w:val="5"/>
  </w:num>
  <w:num w:numId="10">
    <w:abstractNumId w:val="0"/>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89"/>
    <w:rsid w:val="000062BC"/>
    <w:rsid w:val="000111FD"/>
    <w:rsid w:val="000117C1"/>
    <w:rsid w:val="000163EB"/>
    <w:rsid w:val="000179F2"/>
    <w:rsid w:val="000232C6"/>
    <w:rsid w:val="00023B2B"/>
    <w:rsid w:val="0002732B"/>
    <w:rsid w:val="000318AB"/>
    <w:rsid w:val="00031AEB"/>
    <w:rsid w:val="00032254"/>
    <w:rsid w:val="000336CA"/>
    <w:rsid w:val="00035D07"/>
    <w:rsid w:val="00042295"/>
    <w:rsid w:val="0004391D"/>
    <w:rsid w:val="00043ABC"/>
    <w:rsid w:val="00045DE5"/>
    <w:rsid w:val="00046079"/>
    <w:rsid w:val="00051D3F"/>
    <w:rsid w:val="00052C1D"/>
    <w:rsid w:val="00053F0F"/>
    <w:rsid w:val="0007011C"/>
    <w:rsid w:val="000714CF"/>
    <w:rsid w:val="000716DB"/>
    <w:rsid w:val="00071BD8"/>
    <w:rsid w:val="000807F6"/>
    <w:rsid w:val="000837F9"/>
    <w:rsid w:val="00086D08"/>
    <w:rsid w:val="0009034F"/>
    <w:rsid w:val="00090A2F"/>
    <w:rsid w:val="00091526"/>
    <w:rsid w:val="00093BCD"/>
    <w:rsid w:val="0009733F"/>
    <w:rsid w:val="000A0BE3"/>
    <w:rsid w:val="000A49C9"/>
    <w:rsid w:val="000A68D5"/>
    <w:rsid w:val="000A6958"/>
    <w:rsid w:val="000B3499"/>
    <w:rsid w:val="000B4ABC"/>
    <w:rsid w:val="000B5000"/>
    <w:rsid w:val="000B6C9E"/>
    <w:rsid w:val="000C3FCE"/>
    <w:rsid w:val="000C4789"/>
    <w:rsid w:val="000C7B9C"/>
    <w:rsid w:val="000D0DE5"/>
    <w:rsid w:val="000D1F90"/>
    <w:rsid w:val="000D23CC"/>
    <w:rsid w:val="000D25CB"/>
    <w:rsid w:val="000D46DF"/>
    <w:rsid w:val="000E2F3C"/>
    <w:rsid w:val="000E7942"/>
    <w:rsid w:val="000F2562"/>
    <w:rsid w:val="000F3C7D"/>
    <w:rsid w:val="000F447D"/>
    <w:rsid w:val="000F52CD"/>
    <w:rsid w:val="001005E3"/>
    <w:rsid w:val="00100AF3"/>
    <w:rsid w:val="001014BF"/>
    <w:rsid w:val="00104B0A"/>
    <w:rsid w:val="00107837"/>
    <w:rsid w:val="00111239"/>
    <w:rsid w:val="00112D2C"/>
    <w:rsid w:val="0011559E"/>
    <w:rsid w:val="001208B0"/>
    <w:rsid w:val="0012092B"/>
    <w:rsid w:val="001302CF"/>
    <w:rsid w:val="00132467"/>
    <w:rsid w:val="00132D87"/>
    <w:rsid w:val="001358B9"/>
    <w:rsid w:val="00137F9A"/>
    <w:rsid w:val="001407B9"/>
    <w:rsid w:val="001416A1"/>
    <w:rsid w:val="00141898"/>
    <w:rsid w:val="0015314A"/>
    <w:rsid w:val="001537B1"/>
    <w:rsid w:val="00153DB9"/>
    <w:rsid w:val="00155989"/>
    <w:rsid w:val="00156EA7"/>
    <w:rsid w:val="00161295"/>
    <w:rsid w:val="00163CE7"/>
    <w:rsid w:val="00164768"/>
    <w:rsid w:val="00166AA4"/>
    <w:rsid w:val="00176BF6"/>
    <w:rsid w:val="001820EB"/>
    <w:rsid w:val="00182EC1"/>
    <w:rsid w:val="00187D43"/>
    <w:rsid w:val="00191431"/>
    <w:rsid w:val="00191A40"/>
    <w:rsid w:val="001928B4"/>
    <w:rsid w:val="00192DFE"/>
    <w:rsid w:val="0019408C"/>
    <w:rsid w:val="0019475F"/>
    <w:rsid w:val="00197A11"/>
    <w:rsid w:val="001A32E3"/>
    <w:rsid w:val="001A3462"/>
    <w:rsid w:val="001A76AC"/>
    <w:rsid w:val="001B2069"/>
    <w:rsid w:val="001B3A15"/>
    <w:rsid w:val="001B4E86"/>
    <w:rsid w:val="001B514A"/>
    <w:rsid w:val="001B76BD"/>
    <w:rsid w:val="001C2D60"/>
    <w:rsid w:val="001C393E"/>
    <w:rsid w:val="001C6490"/>
    <w:rsid w:val="001D3CD0"/>
    <w:rsid w:val="001D4A08"/>
    <w:rsid w:val="001D4F3B"/>
    <w:rsid w:val="001D62B9"/>
    <w:rsid w:val="001E3779"/>
    <w:rsid w:val="001E39F3"/>
    <w:rsid w:val="001E42E6"/>
    <w:rsid w:val="001E7161"/>
    <w:rsid w:val="001F374C"/>
    <w:rsid w:val="002022DD"/>
    <w:rsid w:val="0020374D"/>
    <w:rsid w:val="002052F6"/>
    <w:rsid w:val="0020612A"/>
    <w:rsid w:val="00213682"/>
    <w:rsid w:val="0022347E"/>
    <w:rsid w:val="00232A51"/>
    <w:rsid w:val="002331C2"/>
    <w:rsid w:val="0023445D"/>
    <w:rsid w:val="002405C4"/>
    <w:rsid w:val="00240C83"/>
    <w:rsid w:val="00242FD8"/>
    <w:rsid w:val="00243285"/>
    <w:rsid w:val="0024590C"/>
    <w:rsid w:val="00246E8D"/>
    <w:rsid w:val="0024785D"/>
    <w:rsid w:val="002508EF"/>
    <w:rsid w:val="00250CFE"/>
    <w:rsid w:val="002528C8"/>
    <w:rsid w:val="00255A16"/>
    <w:rsid w:val="00256796"/>
    <w:rsid w:val="00261D8C"/>
    <w:rsid w:val="00262746"/>
    <w:rsid w:val="0027093C"/>
    <w:rsid w:val="00270DEC"/>
    <w:rsid w:val="00271375"/>
    <w:rsid w:val="00275B83"/>
    <w:rsid w:val="002801EA"/>
    <w:rsid w:val="002827A6"/>
    <w:rsid w:val="00290DBA"/>
    <w:rsid w:val="002910C8"/>
    <w:rsid w:val="002921AD"/>
    <w:rsid w:val="00292A99"/>
    <w:rsid w:val="00295B69"/>
    <w:rsid w:val="00297584"/>
    <w:rsid w:val="002A0117"/>
    <w:rsid w:val="002A18C0"/>
    <w:rsid w:val="002A2CF3"/>
    <w:rsid w:val="002A4913"/>
    <w:rsid w:val="002A6C5A"/>
    <w:rsid w:val="002A7618"/>
    <w:rsid w:val="002B5267"/>
    <w:rsid w:val="002B591A"/>
    <w:rsid w:val="002B5DE0"/>
    <w:rsid w:val="002B673A"/>
    <w:rsid w:val="002C69FB"/>
    <w:rsid w:val="002D05DD"/>
    <w:rsid w:val="002D1282"/>
    <w:rsid w:val="002D400E"/>
    <w:rsid w:val="002D4C2E"/>
    <w:rsid w:val="002D5C67"/>
    <w:rsid w:val="002D6AB5"/>
    <w:rsid w:val="002E3AEA"/>
    <w:rsid w:val="002E4351"/>
    <w:rsid w:val="002E4B6B"/>
    <w:rsid w:val="002E5546"/>
    <w:rsid w:val="002E7F61"/>
    <w:rsid w:val="002F0488"/>
    <w:rsid w:val="002F146A"/>
    <w:rsid w:val="002F3577"/>
    <w:rsid w:val="002F3DD3"/>
    <w:rsid w:val="002F63E6"/>
    <w:rsid w:val="002F69D7"/>
    <w:rsid w:val="002F6C26"/>
    <w:rsid w:val="002F70F6"/>
    <w:rsid w:val="00301517"/>
    <w:rsid w:val="003021CB"/>
    <w:rsid w:val="003107BA"/>
    <w:rsid w:val="003107FB"/>
    <w:rsid w:val="003128FA"/>
    <w:rsid w:val="003144D3"/>
    <w:rsid w:val="003161D2"/>
    <w:rsid w:val="0031759B"/>
    <w:rsid w:val="00320D26"/>
    <w:rsid w:val="00322565"/>
    <w:rsid w:val="003258E1"/>
    <w:rsid w:val="003272B5"/>
    <w:rsid w:val="00332604"/>
    <w:rsid w:val="00333B46"/>
    <w:rsid w:val="00335897"/>
    <w:rsid w:val="003417CB"/>
    <w:rsid w:val="0034314D"/>
    <w:rsid w:val="00343B62"/>
    <w:rsid w:val="00350CAE"/>
    <w:rsid w:val="00354D4D"/>
    <w:rsid w:val="0035523A"/>
    <w:rsid w:val="00355D69"/>
    <w:rsid w:val="00363F95"/>
    <w:rsid w:val="00366F2A"/>
    <w:rsid w:val="00367113"/>
    <w:rsid w:val="00367E31"/>
    <w:rsid w:val="0037036C"/>
    <w:rsid w:val="0037329A"/>
    <w:rsid w:val="0037536C"/>
    <w:rsid w:val="00376F20"/>
    <w:rsid w:val="00381FBB"/>
    <w:rsid w:val="00382073"/>
    <w:rsid w:val="00390F1C"/>
    <w:rsid w:val="00391230"/>
    <w:rsid w:val="00393B54"/>
    <w:rsid w:val="00395A39"/>
    <w:rsid w:val="003971D9"/>
    <w:rsid w:val="0039761F"/>
    <w:rsid w:val="003A22F1"/>
    <w:rsid w:val="003A3820"/>
    <w:rsid w:val="003A40FF"/>
    <w:rsid w:val="003B0B57"/>
    <w:rsid w:val="003B3854"/>
    <w:rsid w:val="003B4E8C"/>
    <w:rsid w:val="003B6559"/>
    <w:rsid w:val="003C0B69"/>
    <w:rsid w:val="003C37BE"/>
    <w:rsid w:val="003C5288"/>
    <w:rsid w:val="003C6988"/>
    <w:rsid w:val="003D36E6"/>
    <w:rsid w:val="003D5267"/>
    <w:rsid w:val="003D597D"/>
    <w:rsid w:val="003D5F41"/>
    <w:rsid w:val="003D66C7"/>
    <w:rsid w:val="003E0CBB"/>
    <w:rsid w:val="003E1328"/>
    <w:rsid w:val="003E141B"/>
    <w:rsid w:val="003E7398"/>
    <w:rsid w:val="003F27EB"/>
    <w:rsid w:val="003F39B6"/>
    <w:rsid w:val="003F4A64"/>
    <w:rsid w:val="00400497"/>
    <w:rsid w:val="004043E2"/>
    <w:rsid w:val="004049F3"/>
    <w:rsid w:val="00404B6C"/>
    <w:rsid w:val="004116C6"/>
    <w:rsid w:val="00411A5E"/>
    <w:rsid w:val="00413660"/>
    <w:rsid w:val="00416075"/>
    <w:rsid w:val="00423F82"/>
    <w:rsid w:val="004305B4"/>
    <w:rsid w:val="004341BF"/>
    <w:rsid w:val="0043601A"/>
    <w:rsid w:val="00436D4E"/>
    <w:rsid w:val="00436F88"/>
    <w:rsid w:val="00443E34"/>
    <w:rsid w:val="0044410F"/>
    <w:rsid w:val="00445728"/>
    <w:rsid w:val="00445E4C"/>
    <w:rsid w:val="004541F0"/>
    <w:rsid w:val="00457FF1"/>
    <w:rsid w:val="0046114B"/>
    <w:rsid w:val="00463190"/>
    <w:rsid w:val="00464ED9"/>
    <w:rsid w:val="0046601F"/>
    <w:rsid w:val="004665AF"/>
    <w:rsid w:val="00467C72"/>
    <w:rsid w:val="00467FEC"/>
    <w:rsid w:val="00470ED7"/>
    <w:rsid w:val="0047276D"/>
    <w:rsid w:val="004740D7"/>
    <w:rsid w:val="00474DB6"/>
    <w:rsid w:val="00475665"/>
    <w:rsid w:val="00475961"/>
    <w:rsid w:val="004760F8"/>
    <w:rsid w:val="00476771"/>
    <w:rsid w:val="004769D5"/>
    <w:rsid w:val="00476BC8"/>
    <w:rsid w:val="0047702A"/>
    <w:rsid w:val="00483F6C"/>
    <w:rsid w:val="004878A0"/>
    <w:rsid w:val="00493483"/>
    <w:rsid w:val="00493BFA"/>
    <w:rsid w:val="00494B2F"/>
    <w:rsid w:val="00495671"/>
    <w:rsid w:val="004A2E57"/>
    <w:rsid w:val="004A565C"/>
    <w:rsid w:val="004A73B4"/>
    <w:rsid w:val="004A789C"/>
    <w:rsid w:val="004B0930"/>
    <w:rsid w:val="004B1BC4"/>
    <w:rsid w:val="004B29F1"/>
    <w:rsid w:val="004B2B07"/>
    <w:rsid w:val="004B4F72"/>
    <w:rsid w:val="004B6105"/>
    <w:rsid w:val="004C5C3E"/>
    <w:rsid w:val="004C60A9"/>
    <w:rsid w:val="004C7BC8"/>
    <w:rsid w:val="004D26B3"/>
    <w:rsid w:val="004D368E"/>
    <w:rsid w:val="004D4D58"/>
    <w:rsid w:val="004D52EC"/>
    <w:rsid w:val="004D565C"/>
    <w:rsid w:val="004D6976"/>
    <w:rsid w:val="004E1922"/>
    <w:rsid w:val="004E2530"/>
    <w:rsid w:val="004E2EA6"/>
    <w:rsid w:val="004F455C"/>
    <w:rsid w:val="004F6BE3"/>
    <w:rsid w:val="005001E1"/>
    <w:rsid w:val="005034E0"/>
    <w:rsid w:val="00503A05"/>
    <w:rsid w:val="00504DE9"/>
    <w:rsid w:val="005056E6"/>
    <w:rsid w:val="005069C2"/>
    <w:rsid w:val="00513E4C"/>
    <w:rsid w:val="005142FF"/>
    <w:rsid w:val="005152E6"/>
    <w:rsid w:val="00522B98"/>
    <w:rsid w:val="00522D06"/>
    <w:rsid w:val="00523BCC"/>
    <w:rsid w:val="0052452B"/>
    <w:rsid w:val="005256F9"/>
    <w:rsid w:val="00526F19"/>
    <w:rsid w:val="0053267F"/>
    <w:rsid w:val="00533DA6"/>
    <w:rsid w:val="00537EBE"/>
    <w:rsid w:val="00540B99"/>
    <w:rsid w:val="00542823"/>
    <w:rsid w:val="00542949"/>
    <w:rsid w:val="0054543C"/>
    <w:rsid w:val="005503E5"/>
    <w:rsid w:val="005546A8"/>
    <w:rsid w:val="00554896"/>
    <w:rsid w:val="0056092B"/>
    <w:rsid w:val="005628FB"/>
    <w:rsid w:val="005630EE"/>
    <w:rsid w:val="00563F72"/>
    <w:rsid w:val="0057384B"/>
    <w:rsid w:val="00580122"/>
    <w:rsid w:val="00581AE4"/>
    <w:rsid w:val="00592CBD"/>
    <w:rsid w:val="00594DC1"/>
    <w:rsid w:val="00595856"/>
    <w:rsid w:val="005A0911"/>
    <w:rsid w:val="005A0A2D"/>
    <w:rsid w:val="005A0F52"/>
    <w:rsid w:val="005A183B"/>
    <w:rsid w:val="005A2F31"/>
    <w:rsid w:val="005B4CEB"/>
    <w:rsid w:val="005B6173"/>
    <w:rsid w:val="005B7771"/>
    <w:rsid w:val="005C0AED"/>
    <w:rsid w:val="005C47D5"/>
    <w:rsid w:val="005C4BA6"/>
    <w:rsid w:val="005D1415"/>
    <w:rsid w:val="005D17A8"/>
    <w:rsid w:val="005D425F"/>
    <w:rsid w:val="005D48C5"/>
    <w:rsid w:val="005D48D8"/>
    <w:rsid w:val="005D6E7D"/>
    <w:rsid w:val="005D7D10"/>
    <w:rsid w:val="005D7EA3"/>
    <w:rsid w:val="005E2D2C"/>
    <w:rsid w:val="005E33BF"/>
    <w:rsid w:val="005E46D1"/>
    <w:rsid w:val="005E6165"/>
    <w:rsid w:val="005E6647"/>
    <w:rsid w:val="005F05F8"/>
    <w:rsid w:val="005F285E"/>
    <w:rsid w:val="005F3525"/>
    <w:rsid w:val="005F5A79"/>
    <w:rsid w:val="005F69CA"/>
    <w:rsid w:val="005F713D"/>
    <w:rsid w:val="005F7534"/>
    <w:rsid w:val="00602F7B"/>
    <w:rsid w:val="00606C38"/>
    <w:rsid w:val="006109F4"/>
    <w:rsid w:val="00613A98"/>
    <w:rsid w:val="00613CB8"/>
    <w:rsid w:val="006151A6"/>
    <w:rsid w:val="00620EA2"/>
    <w:rsid w:val="00621057"/>
    <w:rsid w:val="00622A32"/>
    <w:rsid w:val="0062605F"/>
    <w:rsid w:val="006266A5"/>
    <w:rsid w:val="00626CF2"/>
    <w:rsid w:val="0063318F"/>
    <w:rsid w:val="006414E5"/>
    <w:rsid w:val="00643F72"/>
    <w:rsid w:val="00645137"/>
    <w:rsid w:val="00645D95"/>
    <w:rsid w:val="00647552"/>
    <w:rsid w:val="0065234B"/>
    <w:rsid w:val="006546CB"/>
    <w:rsid w:val="00654E15"/>
    <w:rsid w:val="00655213"/>
    <w:rsid w:val="00655BBB"/>
    <w:rsid w:val="006605DD"/>
    <w:rsid w:val="006628A5"/>
    <w:rsid w:val="00662AD8"/>
    <w:rsid w:val="0066588A"/>
    <w:rsid w:val="0066602B"/>
    <w:rsid w:val="00666428"/>
    <w:rsid w:val="00666560"/>
    <w:rsid w:val="006673BC"/>
    <w:rsid w:val="00672B89"/>
    <w:rsid w:val="00673398"/>
    <w:rsid w:val="00673D3D"/>
    <w:rsid w:val="00677D3C"/>
    <w:rsid w:val="00680D90"/>
    <w:rsid w:val="00681220"/>
    <w:rsid w:val="00682927"/>
    <w:rsid w:val="006849CB"/>
    <w:rsid w:val="00684DE5"/>
    <w:rsid w:val="00685484"/>
    <w:rsid w:val="006935A4"/>
    <w:rsid w:val="00693B7E"/>
    <w:rsid w:val="006947AE"/>
    <w:rsid w:val="006A0ACB"/>
    <w:rsid w:val="006A39E8"/>
    <w:rsid w:val="006A4DC9"/>
    <w:rsid w:val="006A5140"/>
    <w:rsid w:val="006A5BDF"/>
    <w:rsid w:val="006A7136"/>
    <w:rsid w:val="006B102B"/>
    <w:rsid w:val="006B10C7"/>
    <w:rsid w:val="006B3E39"/>
    <w:rsid w:val="006B6070"/>
    <w:rsid w:val="006C131D"/>
    <w:rsid w:val="006C1B5D"/>
    <w:rsid w:val="006C1D29"/>
    <w:rsid w:val="006C5420"/>
    <w:rsid w:val="006D0145"/>
    <w:rsid w:val="006D173E"/>
    <w:rsid w:val="006D525D"/>
    <w:rsid w:val="006D5CCE"/>
    <w:rsid w:val="006D782A"/>
    <w:rsid w:val="006E3582"/>
    <w:rsid w:val="006E3C29"/>
    <w:rsid w:val="006E4234"/>
    <w:rsid w:val="006F0669"/>
    <w:rsid w:val="006F6A7C"/>
    <w:rsid w:val="00700F8B"/>
    <w:rsid w:val="0070307D"/>
    <w:rsid w:val="00704298"/>
    <w:rsid w:val="00704890"/>
    <w:rsid w:val="0071444F"/>
    <w:rsid w:val="00715B76"/>
    <w:rsid w:val="00716E5E"/>
    <w:rsid w:val="007177FD"/>
    <w:rsid w:val="00720111"/>
    <w:rsid w:val="00720801"/>
    <w:rsid w:val="007224B4"/>
    <w:rsid w:val="00722A37"/>
    <w:rsid w:val="00724AEC"/>
    <w:rsid w:val="00727DC1"/>
    <w:rsid w:val="00732215"/>
    <w:rsid w:val="00734486"/>
    <w:rsid w:val="00735AAC"/>
    <w:rsid w:val="00740110"/>
    <w:rsid w:val="00740F1A"/>
    <w:rsid w:val="00745071"/>
    <w:rsid w:val="00745248"/>
    <w:rsid w:val="00746115"/>
    <w:rsid w:val="00746854"/>
    <w:rsid w:val="00752C3D"/>
    <w:rsid w:val="00752F46"/>
    <w:rsid w:val="00753E34"/>
    <w:rsid w:val="007575A4"/>
    <w:rsid w:val="00764B86"/>
    <w:rsid w:val="007657FD"/>
    <w:rsid w:val="00767270"/>
    <w:rsid w:val="007706AE"/>
    <w:rsid w:val="00772B46"/>
    <w:rsid w:val="00774BBF"/>
    <w:rsid w:val="00775CE2"/>
    <w:rsid w:val="00777599"/>
    <w:rsid w:val="00784BED"/>
    <w:rsid w:val="007900B1"/>
    <w:rsid w:val="00790E61"/>
    <w:rsid w:val="00790F0A"/>
    <w:rsid w:val="007917F4"/>
    <w:rsid w:val="007920A0"/>
    <w:rsid w:val="007A1CA2"/>
    <w:rsid w:val="007A34F2"/>
    <w:rsid w:val="007A4854"/>
    <w:rsid w:val="007A53CA"/>
    <w:rsid w:val="007A5577"/>
    <w:rsid w:val="007B0FE7"/>
    <w:rsid w:val="007B117F"/>
    <w:rsid w:val="007B12B0"/>
    <w:rsid w:val="007B41E1"/>
    <w:rsid w:val="007B5CF8"/>
    <w:rsid w:val="007B7E11"/>
    <w:rsid w:val="007C006A"/>
    <w:rsid w:val="007C02F5"/>
    <w:rsid w:val="007C104B"/>
    <w:rsid w:val="007C2B50"/>
    <w:rsid w:val="007C60D3"/>
    <w:rsid w:val="007C6205"/>
    <w:rsid w:val="007D000B"/>
    <w:rsid w:val="007D1A6F"/>
    <w:rsid w:val="007D35CA"/>
    <w:rsid w:val="007D3DE9"/>
    <w:rsid w:val="007D670F"/>
    <w:rsid w:val="007E39E4"/>
    <w:rsid w:val="007E5911"/>
    <w:rsid w:val="007E69FE"/>
    <w:rsid w:val="007F07C9"/>
    <w:rsid w:val="007F0CD8"/>
    <w:rsid w:val="007F1196"/>
    <w:rsid w:val="007F53C8"/>
    <w:rsid w:val="007F5E8D"/>
    <w:rsid w:val="00801D55"/>
    <w:rsid w:val="00807F6E"/>
    <w:rsid w:val="00820EB1"/>
    <w:rsid w:val="008230C6"/>
    <w:rsid w:val="00824B71"/>
    <w:rsid w:val="008278E2"/>
    <w:rsid w:val="00831F8B"/>
    <w:rsid w:val="0083265C"/>
    <w:rsid w:val="00832ECA"/>
    <w:rsid w:val="00834602"/>
    <w:rsid w:val="00840CE3"/>
    <w:rsid w:val="0084255D"/>
    <w:rsid w:val="0084384F"/>
    <w:rsid w:val="00844318"/>
    <w:rsid w:val="00844F8B"/>
    <w:rsid w:val="00850379"/>
    <w:rsid w:val="00855705"/>
    <w:rsid w:val="00856492"/>
    <w:rsid w:val="00862907"/>
    <w:rsid w:val="00862C64"/>
    <w:rsid w:val="0086718C"/>
    <w:rsid w:val="008678A2"/>
    <w:rsid w:val="0087273F"/>
    <w:rsid w:val="00873B02"/>
    <w:rsid w:val="00880207"/>
    <w:rsid w:val="00881AFB"/>
    <w:rsid w:val="0088393C"/>
    <w:rsid w:val="00884B51"/>
    <w:rsid w:val="008853A5"/>
    <w:rsid w:val="00885A38"/>
    <w:rsid w:val="00885A58"/>
    <w:rsid w:val="0088655C"/>
    <w:rsid w:val="0089194C"/>
    <w:rsid w:val="008922D2"/>
    <w:rsid w:val="008933F4"/>
    <w:rsid w:val="00895D8A"/>
    <w:rsid w:val="008A588B"/>
    <w:rsid w:val="008A6FE1"/>
    <w:rsid w:val="008B0159"/>
    <w:rsid w:val="008B1D34"/>
    <w:rsid w:val="008B30BE"/>
    <w:rsid w:val="008B6D29"/>
    <w:rsid w:val="008C2FBA"/>
    <w:rsid w:val="008C5D99"/>
    <w:rsid w:val="008C7698"/>
    <w:rsid w:val="008D35D4"/>
    <w:rsid w:val="008D4198"/>
    <w:rsid w:val="008E2BD2"/>
    <w:rsid w:val="008E3C86"/>
    <w:rsid w:val="008E652C"/>
    <w:rsid w:val="008E6A11"/>
    <w:rsid w:val="008E7A8F"/>
    <w:rsid w:val="008F2F71"/>
    <w:rsid w:val="008F4923"/>
    <w:rsid w:val="008F5221"/>
    <w:rsid w:val="008F583A"/>
    <w:rsid w:val="008F6590"/>
    <w:rsid w:val="0090123C"/>
    <w:rsid w:val="00906892"/>
    <w:rsid w:val="00907E3B"/>
    <w:rsid w:val="00910C8F"/>
    <w:rsid w:val="00911E7F"/>
    <w:rsid w:val="00930FBB"/>
    <w:rsid w:val="009312A0"/>
    <w:rsid w:val="009314DD"/>
    <w:rsid w:val="0093784D"/>
    <w:rsid w:val="009420E3"/>
    <w:rsid w:val="00942D83"/>
    <w:rsid w:val="00943E8A"/>
    <w:rsid w:val="00943F16"/>
    <w:rsid w:val="00950F12"/>
    <w:rsid w:val="00951776"/>
    <w:rsid w:val="00960865"/>
    <w:rsid w:val="009616AE"/>
    <w:rsid w:val="00962BCC"/>
    <w:rsid w:val="00963C2F"/>
    <w:rsid w:val="00964546"/>
    <w:rsid w:val="00967505"/>
    <w:rsid w:val="00970390"/>
    <w:rsid w:val="00972109"/>
    <w:rsid w:val="00975714"/>
    <w:rsid w:val="00976216"/>
    <w:rsid w:val="009763BE"/>
    <w:rsid w:val="009778B5"/>
    <w:rsid w:val="009839D7"/>
    <w:rsid w:val="009911CB"/>
    <w:rsid w:val="00994EF1"/>
    <w:rsid w:val="00994FAD"/>
    <w:rsid w:val="009953F3"/>
    <w:rsid w:val="009A04EC"/>
    <w:rsid w:val="009B28A1"/>
    <w:rsid w:val="009C09F3"/>
    <w:rsid w:val="009C272C"/>
    <w:rsid w:val="009C38A9"/>
    <w:rsid w:val="009C3C9A"/>
    <w:rsid w:val="009C6812"/>
    <w:rsid w:val="009C7CEB"/>
    <w:rsid w:val="009D0F66"/>
    <w:rsid w:val="009E0905"/>
    <w:rsid w:val="009E4938"/>
    <w:rsid w:val="009E6760"/>
    <w:rsid w:val="00A05AAA"/>
    <w:rsid w:val="00A074FB"/>
    <w:rsid w:val="00A109E7"/>
    <w:rsid w:val="00A1720E"/>
    <w:rsid w:val="00A2468C"/>
    <w:rsid w:val="00A25B61"/>
    <w:rsid w:val="00A2607E"/>
    <w:rsid w:val="00A3197A"/>
    <w:rsid w:val="00A35608"/>
    <w:rsid w:val="00A42F0A"/>
    <w:rsid w:val="00A46644"/>
    <w:rsid w:val="00A470DF"/>
    <w:rsid w:val="00A47443"/>
    <w:rsid w:val="00A555C3"/>
    <w:rsid w:val="00A6089D"/>
    <w:rsid w:val="00A66849"/>
    <w:rsid w:val="00A70AAA"/>
    <w:rsid w:val="00A72294"/>
    <w:rsid w:val="00A741D4"/>
    <w:rsid w:val="00A762B4"/>
    <w:rsid w:val="00A76816"/>
    <w:rsid w:val="00A80D2D"/>
    <w:rsid w:val="00A8200A"/>
    <w:rsid w:val="00A843D8"/>
    <w:rsid w:val="00A845CC"/>
    <w:rsid w:val="00A87031"/>
    <w:rsid w:val="00A91576"/>
    <w:rsid w:val="00A928C1"/>
    <w:rsid w:val="00A93BE3"/>
    <w:rsid w:val="00A95E7B"/>
    <w:rsid w:val="00AA0AF0"/>
    <w:rsid w:val="00AA1B4B"/>
    <w:rsid w:val="00AA52E6"/>
    <w:rsid w:val="00AA57BD"/>
    <w:rsid w:val="00AB1D39"/>
    <w:rsid w:val="00AB7AB3"/>
    <w:rsid w:val="00AC14F8"/>
    <w:rsid w:val="00AC2D30"/>
    <w:rsid w:val="00AC3339"/>
    <w:rsid w:val="00AC5890"/>
    <w:rsid w:val="00AD2537"/>
    <w:rsid w:val="00AD3B45"/>
    <w:rsid w:val="00AD727A"/>
    <w:rsid w:val="00AD7408"/>
    <w:rsid w:val="00AD7850"/>
    <w:rsid w:val="00AD7E04"/>
    <w:rsid w:val="00AE0ECB"/>
    <w:rsid w:val="00AE295A"/>
    <w:rsid w:val="00AE2D7F"/>
    <w:rsid w:val="00AE5B6D"/>
    <w:rsid w:val="00AE60EC"/>
    <w:rsid w:val="00AF5067"/>
    <w:rsid w:val="00AF6452"/>
    <w:rsid w:val="00B00316"/>
    <w:rsid w:val="00B012D3"/>
    <w:rsid w:val="00B01A40"/>
    <w:rsid w:val="00B0569E"/>
    <w:rsid w:val="00B0611B"/>
    <w:rsid w:val="00B1492B"/>
    <w:rsid w:val="00B16140"/>
    <w:rsid w:val="00B1650C"/>
    <w:rsid w:val="00B20A81"/>
    <w:rsid w:val="00B210AE"/>
    <w:rsid w:val="00B25B78"/>
    <w:rsid w:val="00B26A3F"/>
    <w:rsid w:val="00B27963"/>
    <w:rsid w:val="00B30DF2"/>
    <w:rsid w:val="00B3272F"/>
    <w:rsid w:val="00B36A9B"/>
    <w:rsid w:val="00B405DC"/>
    <w:rsid w:val="00B412AE"/>
    <w:rsid w:val="00B4226D"/>
    <w:rsid w:val="00B425A1"/>
    <w:rsid w:val="00B42FF2"/>
    <w:rsid w:val="00B4394D"/>
    <w:rsid w:val="00B50BDD"/>
    <w:rsid w:val="00B54314"/>
    <w:rsid w:val="00B559AE"/>
    <w:rsid w:val="00B55FC8"/>
    <w:rsid w:val="00B61AE3"/>
    <w:rsid w:val="00B638E4"/>
    <w:rsid w:val="00B653F8"/>
    <w:rsid w:val="00B66E0C"/>
    <w:rsid w:val="00B71FB7"/>
    <w:rsid w:val="00B763C0"/>
    <w:rsid w:val="00B76F5E"/>
    <w:rsid w:val="00B82AD8"/>
    <w:rsid w:val="00B83319"/>
    <w:rsid w:val="00B833E7"/>
    <w:rsid w:val="00B86337"/>
    <w:rsid w:val="00B92750"/>
    <w:rsid w:val="00B940BE"/>
    <w:rsid w:val="00B964F7"/>
    <w:rsid w:val="00BA418D"/>
    <w:rsid w:val="00BA564B"/>
    <w:rsid w:val="00BA5E4A"/>
    <w:rsid w:val="00BB0223"/>
    <w:rsid w:val="00BB3F98"/>
    <w:rsid w:val="00BB463D"/>
    <w:rsid w:val="00BB487A"/>
    <w:rsid w:val="00BC61D6"/>
    <w:rsid w:val="00BD223E"/>
    <w:rsid w:val="00BD239D"/>
    <w:rsid w:val="00BD465F"/>
    <w:rsid w:val="00BD4E5B"/>
    <w:rsid w:val="00BD5837"/>
    <w:rsid w:val="00BD5C06"/>
    <w:rsid w:val="00BD76B9"/>
    <w:rsid w:val="00BE0A8A"/>
    <w:rsid w:val="00BE3160"/>
    <w:rsid w:val="00BE3FDE"/>
    <w:rsid w:val="00BE4484"/>
    <w:rsid w:val="00BE746E"/>
    <w:rsid w:val="00BF00A6"/>
    <w:rsid w:val="00BF6498"/>
    <w:rsid w:val="00BF7E39"/>
    <w:rsid w:val="00C0005C"/>
    <w:rsid w:val="00C12BB6"/>
    <w:rsid w:val="00C13922"/>
    <w:rsid w:val="00C1493F"/>
    <w:rsid w:val="00C21996"/>
    <w:rsid w:val="00C227A4"/>
    <w:rsid w:val="00C23259"/>
    <w:rsid w:val="00C23CC7"/>
    <w:rsid w:val="00C2510C"/>
    <w:rsid w:val="00C3091C"/>
    <w:rsid w:val="00C322A3"/>
    <w:rsid w:val="00C32AA7"/>
    <w:rsid w:val="00C406CB"/>
    <w:rsid w:val="00C41DCF"/>
    <w:rsid w:val="00C429B8"/>
    <w:rsid w:val="00C46F2C"/>
    <w:rsid w:val="00C514A9"/>
    <w:rsid w:val="00C52310"/>
    <w:rsid w:val="00C533D0"/>
    <w:rsid w:val="00C55AE3"/>
    <w:rsid w:val="00C56526"/>
    <w:rsid w:val="00C567BA"/>
    <w:rsid w:val="00C56CD5"/>
    <w:rsid w:val="00C56E68"/>
    <w:rsid w:val="00C608F2"/>
    <w:rsid w:val="00C60D3F"/>
    <w:rsid w:val="00C60F4D"/>
    <w:rsid w:val="00C61456"/>
    <w:rsid w:val="00C6179C"/>
    <w:rsid w:val="00C6195A"/>
    <w:rsid w:val="00C62238"/>
    <w:rsid w:val="00C6625C"/>
    <w:rsid w:val="00C66FBF"/>
    <w:rsid w:val="00C72291"/>
    <w:rsid w:val="00C7257A"/>
    <w:rsid w:val="00C73B3F"/>
    <w:rsid w:val="00C857A9"/>
    <w:rsid w:val="00C8596F"/>
    <w:rsid w:val="00C871BB"/>
    <w:rsid w:val="00C90577"/>
    <w:rsid w:val="00C90F7F"/>
    <w:rsid w:val="00C9309F"/>
    <w:rsid w:val="00C93741"/>
    <w:rsid w:val="00C940A4"/>
    <w:rsid w:val="00C96C36"/>
    <w:rsid w:val="00CA20EA"/>
    <w:rsid w:val="00CA2608"/>
    <w:rsid w:val="00CA5C00"/>
    <w:rsid w:val="00CB323C"/>
    <w:rsid w:val="00CC3321"/>
    <w:rsid w:val="00CC388E"/>
    <w:rsid w:val="00CC5645"/>
    <w:rsid w:val="00CC62A7"/>
    <w:rsid w:val="00CC6CCD"/>
    <w:rsid w:val="00CD184A"/>
    <w:rsid w:val="00CD2C41"/>
    <w:rsid w:val="00CD2C75"/>
    <w:rsid w:val="00CD3C25"/>
    <w:rsid w:val="00CD6767"/>
    <w:rsid w:val="00CD71A1"/>
    <w:rsid w:val="00CE0803"/>
    <w:rsid w:val="00CE347A"/>
    <w:rsid w:val="00CE5C80"/>
    <w:rsid w:val="00CE6ED6"/>
    <w:rsid w:val="00CF019B"/>
    <w:rsid w:val="00D00386"/>
    <w:rsid w:val="00D03DEB"/>
    <w:rsid w:val="00D048AB"/>
    <w:rsid w:val="00D04D9F"/>
    <w:rsid w:val="00D075E4"/>
    <w:rsid w:val="00D103A0"/>
    <w:rsid w:val="00D1060A"/>
    <w:rsid w:val="00D107DA"/>
    <w:rsid w:val="00D12149"/>
    <w:rsid w:val="00D13041"/>
    <w:rsid w:val="00D13241"/>
    <w:rsid w:val="00D137AB"/>
    <w:rsid w:val="00D13A27"/>
    <w:rsid w:val="00D13BC3"/>
    <w:rsid w:val="00D1411C"/>
    <w:rsid w:val="00D14D93"/>
    <w:rsid w:val="00D15092"/>
    <w:rsid w:val="00D17EE2"/>
    <w:rsid w:val="00D2284C"/>
    <w:rsid w:val="00D23498"/>
    <w:rsid w:val="00D251B7"/>
    <w:rsid w:val="00D25F27"/>
    <w:rsid w:val="00D31919"/>
    <w:rsid w:val="00D32827"/>
    <w:rsid w:val="00D3612C"/>
    <w:rsid w:val="00D36A4F"/>
    <w:rsid w:val="00D372C2"/>
    <w:rsid w:val="00D40DD3"/>
    <w:rsid w:val="00D44AE1"/>
    <w:rsid w:val="00D45826"/>
    <w:rsid w:val="00D5101E"/>
    <w:rsid w:val="00D5287A"/>
    <w:rsid w:val="00D564C8"/>
    <w:rsid w:val="00D61682"/>
    <w:rsid w:val="00D6795F"/>
    <w:rsid w:val="00D7290A"/>
    <w:rsid w:val="00D72E8B"/>
    <w:rsid w:val="00D73644"/>
    <w:rsid w:val="00D7428A"/>
    <w:rsid w:val="00D802C8"/>
    <w:rsid w:val="00D82D11"/>
    <w:rsid w:val="00D86FE1"/>
    <w:rsid w:val="00D90313"/>
    <w:rsid w:val="00D92FAB"/>
    <w:rsid w:val="00D93560"/>
    <w:rsid w:val="00D968C1"/>
    <w:rsid w:val="00DA67C7"/>
    <w:rsid w:val="00DB2111"/>
    <w:rsid w:val="00DB26FB"/>
    <w:rsid w:val="00DB4FE0"/>
    <w:rsid w:val="00DB5318"/>
    <w:rsid w:val="00DC0379"/>
    <w:rsid w:val="00DC39A8"/>
    <w:rsid w:val="00DC55F1"/>
    <w:rsid w:val="00DC65AF"/>
    <w:rsid w:val="00DE0D6B"/>
    <w:rsid w:val="00DE2575"/>
    <w:rsid w:val="00DE4195"/>
    <w:rsid w:val="00DE4B33"/>
    <w:rsid w:val="00DE6405"/>
    <w:rsid w:val="00DE7F00"/>
    <w:rsid w:val="00DF0F8A"/>
    <w:rsid w:val="00DF4742"/>
    <w:rsid w:val="00DF510C"/>
    <w:rsid w:val="00DF703F"/>
    <w:rsid w:val="00E120BF"/>
    <w:rsid w:val="00E12BA0"/>
    <w:rsid w:val="00E1501D"/>
    <w:rsid w:val="00E16292"/>
    <w:rsid w:val="00E17729"/>
    <w:rsid w:val="00E2458C"/>
    <w:rsid w:val="00E24596"/>
    <w:rsid w:val="00E31471"/>
    <w:rsid w:val="00E31B06"/>
    <w:rsid w:val="00E31E16"/>
    <w:rsid w:val="00E32BC9"/>
    <w:rsid w:val="00E32F88"/>
    <w:rsid w:val="00E35225"/>
    <w:rsid w:val="00E358CA"/>
    <w:rsid w:val="00E406BA"/>
    <w:rsid w:val="00E425F3"/>
    <w:rsid w:val="00E45809"/>
    <w:rsid w:val="00E45A4B"/>
    <w:rsid w:val="00E47206"/>
    <w:rsid w:val="00E47A12"/>
    <w:rsid w:val="00E47CDB"/>
    <w:rsid w:val="00E532E5"/>
    <w:rsid w:val="00E56053"/>
    <w:rsid w:val="00E56A4F"/>
    <w:rsid w:val="00E57E02"/>
    <w:rsid w:val="00E57FE3"/>
    <w:rsid w:val="00E60394"/>
    <w:rsid w:val="00E60A75"/>
    <w:rsid w:val="00E62919"/>
    <w:rsid w:val="00E62BFC"/>
    <w:rsid w:val="00E63A29"/>
    <w:rsid w:val="00E64D40"/>
    <w:rsid w:val="00E65165"/>
    <w:rsid w:val="00E668C5"/>
    <w:rsid w:val="00E670F1"/>
    <w:rsid w:val="00E7273C"/>
    <w:rsid w:val="00E75F65"/>
    <w:rsid w:val="00E82D23"/>
    <w:rsid w:val="00E84C3F"/>
    <w:rsid w:val="00E85BDB"/>
    <w:rsid w:val="00E9071F"/>
    <w:rsid w:val="00E90ECD"/>
    <w:rsid w:val="00E966A5"/>
    <w:rsid w:val="00EA02F3"/>
    <w:rsid w:val="00EA4619"/>
    <w:rsid w:val="00EB29DE"/>
    <w:rsid w:val="00EB3994"/>
    <w:rsid w:val="00EB51AE"/>
    <w:rsid w:val="00EC31BA"/>
    <w:rsid w:val="00EC331E"/>
    <w:rsid w:val="00EC495B"/>
    <w:rsid w:val="00EC553D"/>
    <w:rsid w:val="00ED021D"/>
    <w:rsid w:val="00ED0388"/>
    <w:rsid w:val="00ED07B8"/>
    <w:rsid w:val="00ED07CB"/>
    <w:rsid w:val="00ED0870"/>
    <w:rsid w:val="00ED121A"/>
    <w:rsid w:val="00ED1D52"/>
    <w:rsid w:val="00ED306A"/>
    <w:rsid w:val="00ED47BE"/>
    <w:rsid w:val="00EE1379"/>
    <w:rsid w:val="00EE276A"/>
    <w:rsid w:val="00EE4064"/>
    <w:rsid w:val="00EE49D6"/>
    <w:rsid w:val="00EE7375"/>
    <w:rsid w:val="00EE737D"/>
    <w:rsid w:val="00EF1991"/>
    <w:rsid w:val="00EF33A7"/>
    <w:rsid w:val="00EF3C3C"/>
    <w:rsid w:val="00F01F30"/>
    <w:rsid w:val="00F0272D"/>
    <w:rsid w:val="00F039CD"/>
    <w:rsid w:val="00F043A1"/>
    <w:rsid w:val="00F056C7"/>
    <w:rsid w:val="00F07881"/>
    <w:rsid w:val="00F0793E"/>
    <w:rsid w:val="00F149DD"/>
    <w:rsid w:val="00F152B4"/>
    <w:rsid w:val="00F177B6"/>
    <w:rsid w:val="00F23D98"/>
    <w:rsid w:val="00F26B7D"/>
    <w:rsid w:val="00F30802"/>
    <w:rsid w:val="00F33358"/>
    <w:rsid w:val="00F34024"/>
    <w:rsid w:val="00F36785"/>
    <w:rsid w:val="00F37CC5"/>
    <w:rsid w:val="00F44B3F"/>
    <w:rsid w:val="00F451DC"/>
    <w:rsid w:val="00F503A9"/>
    <w:rsid w:val="00F50C15"/>
    <w:rsid w:val="00F56A2A"/>
    <w:rsid w:val="00F640AF"/>
    <w:rsid w:val="00F64D3E"/>
    <w:rsid w:val="00F6544E"/>
    <w:rsid w:val="00F715A5"/>
    <w:rsid w:val="00F718F9"/>
    <w:rsid w:val="00F741CA"/>
    <w:rsid w:val="00F75B61"/>
    <w:rsid w:val="00F77924"/>
    <w:rsid w:val="00F81572"/>
    <w:rsid w:val="00F84022"/>
    <w:rsid w:val="00F849D7"/>
    <w:rsid w:val="00F87D1D"/>
    <w:rsid w:val="00F92333"/>
    <w:rsid w:val="00F92ABD"/>
    <w:rsid w:val="00F93E8E"/>
    <w:rsid w:val="00F94338"/>
    <w:rsid w:val="00F96360"/>
    <w:rsid w:val="00F969F6"/>
    <w:rsid w:val="00FA2274"/>
    <w:rsid w:val="00FA330A"/>
    <w:rsid w:val="00FA576F"/>
    <w:rsid w:val="00FA6274"/>
    <w:rsid w:val="00FA6D1A"/>
    <w:rsid w:val="00FB0686"/>
    <w:rsid w:val="00FB06B4"/>
    <w:rsid w:val="00FB0AA6"/>
    <w:rsid w:val="00FB59B7"/>
    <w:rsid w:val="00FC149F"/>
    <w:rsid w:val="00FD0FDF"/>
    <w:rsid w:val="00FD2113"/>
    <w:rsid w:val="00FD3A94"/>
    <w:rsid w:val="00FE47EB"/>
    <w:rsid w:val="00FE6243"/>
    <w:rsid w:val="00FF1E5E"/>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3AB760"/>
  <w15:docId w15:val="{733B74D6-2661-4AF6-B25A-AFA78B9A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90A"/>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AD8"/>
    <w:pPr>
      <w:tabs>
        <w:tab w:val="center" w:pos="4680"/>
        <w:tab w:val="right" w:pos="9360"/>
      </w:tabs>
    </w:pPr>
  </w:style>
  <w:style w:type="character" w:customStyle="1" w:styleId="HeaderChar">
    <w:name w:val="Header Char"/>
    <w:basedOn w:val="DefaultParagraphFont"/>
    <w:link w:val="Header"/>
    <w:uiPriority w:val="99"/>
    <w:rsid w:val="00B82AD8"/>
    <w:rPr>
      <w:szCs w:val="20"/>
    </w:rPr>
  </w:style>
  <w:style w:type="paragraph" w:styleId="Footer">
    <w:name w:val="footer"/>
    <w:basedOn w:val="Normal"/>
    <w:link w:val="FooterChar"/>
    <w:uiPriority w:val="99"/>
    <w:unhideWhenUsed/>
    <w:rsid w:val="00B82AD8"/>
    <w:pPr>
      <w:tabs>
        <w:tab w:val="center" w:pos="4680"/>
        <w:tab w:val="right" w:pos="9360"/>
      </w:tabs>
    </w:pPr>
  </w:style>
  <w:style w:type="character" w:customStyle="1" w:styleId="FooterChar">
    <w:name w:val="Footer Char"/>
    <w:basedOn w:val="DefaultParagraphFont"/>
    <w:link w:val="Footer"/>
    <w:uiPriority w:val="99"/>
    <w:rsid w:val="00B82AD8"/>
    <w:rPr>
      <w:szCs w:val="20"/>
    </w:rPr>
  </w:style>
  <w:style w:type="paragraph" w:styleId="BalloonText">
    <w:name w:val="Balloon Text"/>
    <w:basedOn w:val="Normal"/>
    <w:link w:val="BalloonTextChar"/>
    <w:uiPriority w:val="99"/>
    <w:semiHidden/>
    <w:unhideWhenUsed/>
    <w:rsid w:val="00D968C1"/>
    <w:rPr>
      <w:rFonts w:ascii="Tahoma" w:hAnsi="Tahoma" w:cs="Tahoma"/>
      <w:sz w:val="16"/>
      <w:szCs w:val="16"/>
    </w:rPr>
  </w:style>
  <w:style w:type="character" w:customStyle="1" w:styleId="BalloonTextChar">
    <w:name w:val="Balloon Text Char"/>
    <w:basedOn w:val="DefaultParagraphFont"/>
    <w:link w:val="BalloonText"/>
    <w:uiPriority w:val="99"/>
    <w:semiHidden/>
    <w:rsid w:val="00D968C1"/>
    <w:rPr>
      <w:rFonts w:ascii="Tahoma" w:hAnsi="Tahoma" w:cs="Tahoma"/>
      <w:sz w:val="16"/>
      <w:szCs w:val="16"/>
    </w:rPr>
  </w:style>
  <w:style w:type="paragraph" w:styleId="ListParagraph">
    <w:name w:val="List Paragraph"/>
    <w:basedOn w:val="Normal"/>
    <w:uiPriority w:val="34"/>
    <w:qFormat/>
    <w:rsid w:val="002B591A"/>
    <w:pPr>
      <w:ind w:left="720"/>
      <w:contextualSpacing/>
    </w:pPr>
  </w:style>
  <w:style w:type="table" w:styleId="TableGrid">
    <w:name w:val="Table Grid"/>
    <w:basedOn w:val="TableNormal"/>
    <w:uiPriority w:val="59"/>
    <w:rsid w:val="00F07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rfcpassagedeactivated">
    <w:name w:val="ss_rfcpassage_deactivated"/>
    <w:basedOn w:val="DefaultParagraphFont"/>
    <w:rsid w:val="00AC2D30"/>
  </w:style>
  <w:style w:type="character" w:customStyle="1" w:styleId="sspaghide1">
    <w:name w:val="ss_pag_hide1"/>
    <w:basedOn w:val="DefaultParagraphFont"/>
    <w:rsid w:val="00AC2D30"/>
    <w:rPr>
      <w:vanish/>
      <w:webHidden w:val="0"/>
      <w:specVanish w:val="0"/>
    </w:rPr>
  </w:style>
  <w:style w:type="character" w:customStyle="1" w:styleId="ssit2">
    <w:name w:val="ss_it2"/>
    <w:basedOn w:val="DefaultParagraphFont"/>
    <w:rsid w:val="00AC2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5090-88BB-48AA-AC26-BBED64F4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14</Pages>
  <Words>3640</Words>
  <Characters>19407</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Miller</dc:creator>
  <cp:lastModifiedBy>Robin Kirtis</cp:lastModifiedBy>
  <cp:revision>59</cp:revision>
  <cp:lastPrinted>2020-09-28T16:22:00Z</cp:lastPrinted>
  <dcterms:created xsi:type="dcterms:W3CDTF">2020-09-10T20:34:00Z</dcterms:created>
  <dcterms:modified xsi:type="dcterms:W3CDTF">2020-09-28T18:49:00Z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904bd73b-87c5-4052-8536-e16d5aa28a3c</vt:lpwstr>
  </property>
</Properties>
</file>